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B2" w:rsidRPr="000568B2" w:rsidRDefault="000568B2" w:rsidP="000568B2">
      <w:pPr>
        <w:pStyle w:val="Heading1"/>
        <w:jc w:val="center"/>
        <w:rPr>
          <w:rFonts w:asciiTheme="majorBidi" w:hAnsiTheme="majorBidi"/>
          <w:sz w:val="32"/>
          <w:szCs w:val="32"/>
        </w:rPr>
      </w:pPr>
      <w:r w:rsidRPr="000568B2">
        <w:rPr>
          <w:rFonts w:asciiTheme="majorBidi" w:hAnsiTheme="majorBidi"/>
          <w:sz w:val="32"/>
        </w:rPr>
        <w:t>Swedish</w:t>
      </w:r>
      <w:r w:rsidR="00F424B6">
        <w:rPr>
          <w:rFonts w:asciiTheme="majorBidi" w:hAnsiTheme="majorBidi"/>
          <w:sz w:val="32"/>
        </w:rPr>
        <w:t xml:space="preserve"> </w:t>
      </w:r>
      <w:r w:rsidRPr="000568B2">
        <w:rPr>
          <w:rFonts w:asciiTheme="majorBidi" w:hAnsiTheme="majorBidi"/>
          <w:sz w:val="32"/>
          <w:szCs w:val="32"/>
        </w:rPr>
        <w:t>Education,</w:t>
      </w:r>
      <w:r w:rsidR="00F424B6">
        <w:rPr>
          <w:rFonts w:asciiTheme="majorBidi" w:hAnsiTheme="majorBidi"/>
          <w:sz w:val="32"/>
          <w:szCs w:val="32"/>
        </w:rPr>
        <w:t xml:space="preserve"> </w:t>
      </w:r>
      <w:r w:rsidRPr="000568B2">
        <w:rPr>
          <w:rFonts w:asciiTheme="majorBidi" w:hAnsiTheme="majorBidi"/>
          <w:sz w:val="32"/>
          <w:szCs w:val="32"/>
        </w:rPr>
        <w:t>Culture,</w:t>
      </w:r>
      <w:r w:rsidR="00F424B6">
        <w:rPr>
          <w:rFonts w:asciiTheme="majorBidi" w:hAnsiTheme="majorBidi"/>
          <w:sz w:val="32"/>
          <w:szCs w:val="32"/>
        </w:rPr>
        <w:t xml:space="preserve"> </w:t>
      </w:r>
      <w:r w:rsidRPr="000568B2">
        <w:rPr>
          <w:rFonts w:asciiTheme="majorBidi" w:hAnsiTheme="majorBidi"/>
          <w:sz w:val="32"/>
          <w:szCs w:val="32"/>
        </w:rPr>
        <w:t>Youth</w:t>
      </w:r>
      <w:r w:rsidR="00F424B6">
        <w:rPr>
          <w:rFonts w:asciiTheme="majorBidi" w:hAnsiTheme="majorBidi"/>
          <w:sz w:val="32"/>
          <w:szCs w:val="32"/>
        </w:rPr>
        <w:t xml:space="preserve"> </w:t>
      </w:r>
      <w:r w:rsidRPr="000568B2">
        <w:rPr>
          <w:rFonts w:asciiTheme="majorBidi" w:hAnsiTheme="majorBidi"/>
          <w:sz w:val="32"/>
          <w:szCs w:val="32"/>
        </w:rPr>
        <w:t>and</w:t>
      </w:r>
      <w:r w:rsidR="00F424B6">
        <w:rPr>
          <w:rFonts w:asciiTheme="majorBidi" w:hAnsiTheme="majorBidi"/>
          <w:sz w:val="32"/>
          <w:szCs w:val="32"/>
        </w:rPr>
        <w:t xml:space="preserve"> </w:t>
      </w:r>
      <w:r w:rsidRPr="000568B2">
        <w:rPr>
          <w:rFonts w:asciiTheme="majorBidi" w:hAnsiTheme="majorBidi"/>
          <w:sz w:val="32"/>
          <w:szCs w:val="32"/>
        </w:rPr>
        <w:t>Civil</w:t>
      </w:r>
      <w:r w:rsidR="00F424B6">
        <w:rPr>
          <w:rFonts w:asciiTheme="majorBidi" w:hAnsiTheme="majorBidi"/>
          <w:sz w:val="32"/>
          <w:szCs w:val="32"/>
        </w:rPr>
        <w:t xml:space="preserve"> </w:t>
      </w:r>
      <w:r w:rsidRPr="000568B2">
        <w:rPr>
          <w:rFonts w:asciiTheme="majorBidi" w:hAnsiTheme="majorBidi"/>
          <w:sz w:val="32"/>
          <w:szCs w:val="32"/>
        </w:rPr>
        <w:t>Society</w:t>
      </w:r>
      <w:r w:rsidR="00F424B6">
        <w:rPr>
          <w:rFonts w:asciiTheme="majorBidi" w:hAnsiTheme="majorBidi"/>
          <w:sz w:val="32"/>
          <w:szCs w:val="32"/>
        </w:rPr>
        <w:t xml:space="preserve"> </w:t>
      </w:r>
      <w:r w:rsidRPr="000568B2">
        <w:rPr>
          <w:rFonts w:asciiTheme="majorBidi" w:hAnsiTheme="majorBidi"/>
          <w:sz w:val="32"/>
          <w:szCs w:val="32"/>
        </w:rPr>
        <w:t>policies</w:t>
      </w:r>
    </w:p>
    <w:p w:rsidR="000568B2" w:rsidRPr="000568B2" w:rsidRDefault="000568B2" w:rsidP="000568B2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0568B2" w:rsidRPr="00F424B6" w:rsidRDefault="000568B2" w:rsidP="000568B2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424B6">
        <w:rPr>
          <w:rFonts w:asciiTheme="majorBidi" w:hAnsiTheme="majorBidi" w:cstheme="majorBidi"/>
          <w:b/>
          <w:bCs/>
          <w:sz w:val="28"/>
          <w:szCs w:val="28"/>
        </w:rPr>
        <w:t>Education</w:t>
      </w:r>
      <w:r w:rsidR="00F424B6" w:rsidRPr="00F424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424B6">
        <w:rPr>
          <w:rFonts w:asciiTheme="majorBidi" w:hAnsiTheme="majorBidi" w:cstheme="majorBidi"/>
          <w:b/>
          <w:bCs/>
          <w:sz w:val="28"/>
          <w:szCs w:val="28"/>
        </w:rPr>
        <w:t>policy</w:t>
      </w:r>
      <w:r w:rsidR="00F424B6" w:rsidRPr="00F424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568B2" w:rsidRPr="000568B2" w:rsidRDefault="000568B2" w:rsidP="000568B2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Swedish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school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system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working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students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deeper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wider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skills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their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foreign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learning.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Top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researchers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area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translation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point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out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several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advantages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having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solid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native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foundation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while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learning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second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Being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able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see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grammatical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pattern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native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gives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much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better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faster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understanding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meeting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new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one.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student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who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aware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grammatical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structures,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pronunciation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patterns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who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experience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processing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different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kinds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texts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both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reading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writing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who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able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vary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interacting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different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receivers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different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purposes,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shows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significantly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faster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progression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second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learning.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knowledge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tells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us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that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have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great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deal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giving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students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proper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fundamental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education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that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will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also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enable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him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integrate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faster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Swedish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society.</w:t>
      </w:r>
    </w:p>
    <w:p w:rsidR="000568B2" w:rsidRPr="000568B2" w:rsidRDefault="000568B2" w:rsidP="000568B2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report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from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Swedish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National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Agency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Education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that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analysed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PISA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2000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results,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reveals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that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Swedish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15-year-old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students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performed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above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OECD-average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all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three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surveyed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domains;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Reading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literacy,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Mathematical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literacy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Scientific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literacy.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also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found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that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Swedish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school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system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achieves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high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level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equity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compared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many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other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OECD-countries.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Nevertheless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PISA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results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show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that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considerable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performance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gap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between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native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students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foreign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background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students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well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many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other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OECD-countries.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not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significantly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larger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than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OECD-average,but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taking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account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other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"equity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indicators"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fact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that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traditionally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belonged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one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countries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highest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ambitions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respect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equitable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distribution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learning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outcomes,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result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far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from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satisfactory.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(Edited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extracts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from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Report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227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-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Further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analyses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from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PISA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2000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results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part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solution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problem,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students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therefore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get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opportunity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study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their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primary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educated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tutor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subject.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motivate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student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even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more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get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grades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just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other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school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subjects.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grades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also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fill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important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purpose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mean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identify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obstacles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students’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learning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second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example: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student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high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grades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native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second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teacher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can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conclude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that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difficulties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second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language-learning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not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consequence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example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dyslexia.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students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also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get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reflect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over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similarities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between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their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own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Swedish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language.</w:t>
      </w:r>
    </w:p>
    <w:p w:rsidR="000568B2" w:rsidRPr="000568B2" w:rsidRDefault="000568B2" w:rsidP="000568B2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teacher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well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educated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good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knowledge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Swedish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important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order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able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make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student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understand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process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learning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new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become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acquainted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Swedish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school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system.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develop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part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educational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system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Swedish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Board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Education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urges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school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leaders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teachers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work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consciously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towards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goal.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Munkebäcksgymnasiet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can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offer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additional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tuition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native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teacher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who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works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one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more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pupils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outside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classroom.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our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school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have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pupils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from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about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16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different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groups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Currently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offer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native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tuition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six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them.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done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example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history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mathematics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since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these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particular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school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subjects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often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cause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problems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our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second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language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learners.</w:t>
      </w:r>
    </w:p>
    <w:p w:rsidR="000568B2" w:rsidRPr="000568B2" w:rsidRDefault="000568B2" w:rsidP="00F424B6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</w:rPr>
        <w:t>Your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child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can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attend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preschool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from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time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1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year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old.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Play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important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element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preschool.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When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your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child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turns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6,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he/she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can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attend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preschool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class.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Both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preschool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preschool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class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voluntary.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All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children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attend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comprehensive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school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from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about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7.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Comprehensive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school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compulsory,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compulsory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schooling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applies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years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1-9.</w:t>
      </w:r>
      <w:r w:rsidR="00F424B6">
        <w:rPr>
          <w:rFonts w:asciiTheme="majorBidi" w:hAnsiTheme="majorBidi" w:cstheme="majorBidi"/>
          <w:sz w:val="24"/>
          <w:szCs w:val="24"/>
        </w:rPr>
        <w:t xml:space="preserve">  </w:t>
      </w: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</w:rPr>
        <w:t>Most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young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people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attend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upper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secondary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school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three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years.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New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arrivals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who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have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received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permanent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residence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permit</w:t>
      </w:r>
      <w:r w:rsidR="00F424B6">
        <w:rPr>
          <w:rFonts w:asciiTheme="majorBidi" w:hAnsiTheme="majorBidi" w:cstheme="majorBidi"/>
          <w:sz w:val="24"/>
          <w:szCs w:val="24"/>
        </w:rPr>
        <w:t xml:space="preserve">  </w:t>
      </w:r>
      <w:r w:rsidRPr="000568B2">
        <w:rPr>
          <w:rFonts w:asciiTheme="majorBidi" w:hAnsiTheme="majorBidi" w:cstheme="majorBidi"/>
          <w:sz w:val="24"/>
          <w:szCs w:val="24"/>
        </w:rPr>
        <w:t>are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entitled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begin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their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upper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secondary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education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lastRenderedPageBreak/>
        <w:t>before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spring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term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year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turn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20;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asylum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seekers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limit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year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turn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18.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However,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also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certain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requirements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recognised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grades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from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earlier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education.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Upper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secondary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school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prepares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pupils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university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university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college,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going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employment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without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further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education.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</w:p>
    <w:p w:rsidR="000568B2" w:rsidRPr="000568B2" w:rsidRDefault="000568B2" w:rsidP="00F424B6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Skolverket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(The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Swedish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National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Agency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Education)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central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administrative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authority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Swedish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public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school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system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children,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adults,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well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preschool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activities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childcare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school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children.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role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National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Agency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Education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Swedish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education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system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define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goals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order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administrate,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inform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order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influence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review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order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improve.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National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Agency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Education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audits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preschool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activities,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care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school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children,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schools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adult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education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many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different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ways.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Regardless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method,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however,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focus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always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asserting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right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each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individual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knowledge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personal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development.</w:t>
      </w:r>
    </w:p>
    <w:p w:rsidR="000568B2" w:rsidRPr="000568B2" w:rsidRDefault="000568B2" w:rsidP="000568B2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568B2">
        <w:rPr>
          <w:rFonts w:asciiTheme="majorBidi" w:hAnsiTheme="majorBidi" w:cstheme="majorBidi"/>
          <w:b/>
          <w:bCs/>
          <w:sz w:val="28"/>
          <w:szCs w:val="28"/>
        </w:rPr>
        <w:t>Culture</w:t>
      </w:r>
      <w:r w:rsidR="00F424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568B2">
        <w:rPr>
          <w:rFonts w:asciiTheme="majorBidi" w:hAnsiTheme="majorBidi" w:cstheme="majorBidi"/>
          <w:b/>
          <w:bCs/>
          <w:sz w:val="28"/>
          <w:szCs w:val="28"/>
        </w:rPr>
        <w:t>policy</w:t>
      </w:r>
    </w:p>
    <w:p w:rsidR="000568B2" w:rsidRPr="000568B2" w:rsidRDefault="000568B2" w:rsidP="00F424B6">
      <w:pPr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goal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Swedish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cultural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policy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increase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access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all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who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culture,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both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via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contact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culture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high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quality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through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creative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activity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their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own.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Financial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support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artists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cultural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institutions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key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element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policy,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which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Swedish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state,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regions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municipalities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share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responsibility.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Yet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individuals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themselves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who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account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majority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spending,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when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purchase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books,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CDs,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tickets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various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cultural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events,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musical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instruments,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players,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TV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sets,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computers,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IPads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smart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phones.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certain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national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cultural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institutions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that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receive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funding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direct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from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Swedish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government,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such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Royal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Opera,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Royal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Dramatic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Theatre,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Riksutställningar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(Swedish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Travelling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Exhibitions)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Statens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Musikverk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(Music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Development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Heritage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Sweden).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every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county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theatres,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music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institutions,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county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libraries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county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museums.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These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often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function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regional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centres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their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respective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cultural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spheres,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working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together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schools,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business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community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others.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Regional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municipal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heads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these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organisations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have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financial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responsibility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their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own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institutions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thereby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decisive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influence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over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scope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nature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their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activities.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However,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some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considerable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time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state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been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promoting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establishment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regional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network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institutions,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providing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substantial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funding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each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year.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state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regions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also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jointly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fund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specialist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county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consultants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dance,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pictorial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arts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design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aim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promoting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activities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these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areas.</w:t>
      </w:r>
    </w:p>
    <w:p w:rsidR="000568B2" w:rsidRPr="000568B2" w:rsidRDefault="000568B2" w:rsidP="00F424B6">
      <w:pPr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collaborative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cultural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model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model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allocating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State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allowances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regional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cultural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activities.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purpose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collaborative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cultural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model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contribute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achieving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national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cultural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policy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goals,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well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providing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opportunities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regional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priorities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variations.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Sweden's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290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municipalities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also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cultural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institutions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funded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wholly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most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part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from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local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income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taxes,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e.g.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public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libraries,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art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museums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some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instances,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municipal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schools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children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young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people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specialising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music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arts.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certain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cases,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state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provides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funding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projects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special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commissions.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cultural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infrastructure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both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pre-condition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consequence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Swedish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cultural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policy.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Sweden's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parliament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laid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down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objectives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basic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principles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Swedish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cultural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policy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1974.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were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revised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2009.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Swedish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Arts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Council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founded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1974.</w:t>
      </w:r>
    </w:p>
    <w:p w:rsidR="00F424B6" w:rsidRDefault="00F424B6" w:rsidP="00F424B6">
      <w:pPr>
        <w:spacing w:after="12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424B6">
        <w:rPr>
          <w:rFonts w:asciiTheme="majorBidi" w:hAnsiTheme="majorBidi" w:cstheme="majorBidi"/>
          <w:i/>
          <w:iCs/>
          <w:color w:val="000000"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i/>
          <w:iCs/>
          <w:color w:val="000000"/>
          <w:sz w:val="24"/>
          <w:szCs w:val="24"/>
        </w:rPr>
        <w:t>vision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i/>
          <w:iCs/>
          <w:color w:val="000000"/>
          <w:sz w:val="24"/>
          <w:szCs w:val="24"/>
        </w:rPr>
        <w:t>of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i/>
          <w:iCs/>
          <w:color w:val="000000"/>
          <w:sz w:val="24"/>
          <w:szCs w:val="24"/>
        </w:rPr>
        <w:t>Alice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i/>
          <w:iCs/>
          <w:color w:val="000000"/>
          <w:sz w:val="24"/>
          <w:szCs w:val="24"/>
        </w:rPr>
        <w:t>Bah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i/>
          <w:iCs/>
          <w:color w:val="000000"/>
          <w:sz w:val="24"/>
          <w:szCs w:val="24"/>
        </w:rPr>
        <w:t>Kuhnke: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i/>
          <w:iCs/>
          <w:color w:val="000000"/>
          <w:sz w:val="24"/>
          <w:szCs w:val="24"/>
        </w:rPr>
        <w:t>Culture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i/>
          <w:iCs/>
          <w:color w:val="000000"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i/>
          <w:iCs/>
          <w:color w:val="000000"/>
          <w:sz w:val="24"/>
          <w:szCs w:val="24"/>
        </w:rPr>
        <w:t>Democracy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i/>
          <w:iCs/>
          <w:color w:val="000000"/>
          <w:sz w:val="24"/>
          <w:szCs w:val="24"/>
        </w:rPr>
        <w:t>Minister</w:t>
      </w:r>
      <w:r w:rsidRPr="00F424B6">
        <w:rPr>
          <w:rFonts w:asciiTheme="majorBidi" w:hAnsiTheme="majorBidi" w:cstheme="majorBidi"/>
          <w:i/>
          <w:iCs/>
          <w:sz w:val="24"/>
          <w:szCs w:val="24"/>
        </w:rPr>
        <w:t>: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i/>
          <w:iCs/>
          <w:sz w:val="24"/>
          <w:szCs w:val="24"/>
        </w:rPr>
        <w:t>"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More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culture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to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more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people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in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country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an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active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democracy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policies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that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contribute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to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Sweden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where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people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live,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learn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evolve.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This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is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basis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for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policy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that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will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be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priority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during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this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term.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free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culture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depends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on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stable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strong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democracy.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Sweden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must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be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country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where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many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different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voices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get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an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opportunity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to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be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heard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considered.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Racism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similar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forms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of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hostility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will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not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be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given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space.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It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is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therefore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more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important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than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ever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to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defend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freedom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of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media,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independence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of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art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civil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society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conditions.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Culture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and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Democracy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policy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is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part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of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the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work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of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Sweden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that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holds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568B2" w:rsidRPr="00F424B6">
        <w:rPr>
          <w:rFonts w:asciiTheme="majorBidi" w:hAnsiTheme="majorBidi" w:cstheme="majorBidi"/>
          <w:i/>
          <w:iCs/>
          <w:sz w:val="24"/>
          <w:szCs w:val="24"/>
        </w:rPr>
        <w:t>together.</w:t>
      </w:r>
      <w:r w:rsidRPr="00F424B6">
        <w:rPr>
          <w:rFonts w:asciiTheme="majorBidi" w:hAnsiTheme="majorBidi" w:cstheme="majorBidi"/>
          <w:i/>
          <w:iCs/>
          <w:sz w:val="24"/>
          <w:szCs w:val="24"/>
        </w:rPr>
        <w:t>"</w:t>
      </w:r>
    </w:p>
    <w:p w:rsidR="00F424B6" w:rsidRPr="00F424B6" w:rsidRDefault="00F424B6" w:rsidP="00F424B6">
      <w:pPr>
        <w:spacing w:after="12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0568B2" w:rsidRPr="000568B2" w:rsidRDefault="000568B2" w:rsidP="00F424B6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568B2">
        <w:rPr>
          <w:rFonts w:asciiTheme="majorBidi" w:hAnsiTheme="majorBidi" w:cstheme="majorBidi"/>
          <w:b/>
          <w:bCs/>
          <w:sz w:val="28"/>
          <w:szCs w:val="28"/>
        </w:rPr>
        <w:t>Youth</w:t>
      </w:r>
      <w:r w:rsidR="00F424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568B2">
        <w:rPr>
          <w:rFonts w:asciiTheme="majorBidi" w:hAnsiTheme="majorBidi" w:cstheme="majorBidi"/>
          <w:b/>
          <w:bCs/>
          <w:sz w:val="28"/>
          <w:szCs w:val="28"/>
        </w:rPr>
        <w:t>policy</w:t>
      </w: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goal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policy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Sweden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that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all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between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ages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13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25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are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have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good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living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conditions,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power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form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their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own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lives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influence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over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developments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society.</w:t>
      </w: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568B2">
        <w:rPr>
          <w:rFonts w:asciiTheme="majorBidi" w:hAnsiTheme="majorBidi" w:cstheme="majorBidi"/>
          <w:b/>
          <w:bCs/>
          <w:sz w:val="24"/>
          <w:szCs w:val="24"/>
        </w:rPr>
        <w:t>Why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we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need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youth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policy</w:t>
      </w: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opportunities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enter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world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adults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are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highly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dependent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way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society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structured.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Given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right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conditions,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can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both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form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their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own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lives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contribute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positive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societal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developments.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goal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policy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ensure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that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all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aged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between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13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25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have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good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living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conditions,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power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form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their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own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lives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influence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over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developments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society.</w:t>
      </w: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568B2">
        <w:rPr>
          <w:rFonts w:asciiTheme="majorBidi" w:hAnsiTheme="majorBidi" w:cstheme="majorBidi"/>
          <w:b/>
          <w:bCs/>
          <w:sz w:val="24"/>
          <w:szCs w:val="24"/>
        </w:rPr>
        <w:t>Youth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policy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is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multisectoral</w:t>
      </w: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policy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multisectoral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includes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areas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such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education,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work,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influence,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health,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leisure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time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culture.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fact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that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policy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multisectoral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means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that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all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affected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areas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activity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have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joint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responsibility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achieving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stated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policy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goal.</w:t>
      </w: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568B2">
        <w:rPr>
          <w:rFonts w:asciiTheme="majorBidi" w:hAnsiTheme="majorBidi" w:cstheme="majorBidi"/>
          <w:b/>
          <w:bCs/>
          <w:sz w:val="24"/>
          <w:szCs w:val="24"/>
        </w:rPr>
        <w:t>Three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prioritised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areas</w:t>
      </w: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Teenagers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adults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face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range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challenges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transition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from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childhood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adulthood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that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society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needs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take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consideration.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Three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areas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have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therefore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been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given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special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priority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Sweden’s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policy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period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up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2017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–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people’s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influence,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people’s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ability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support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themselves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mental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health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people.</w:t>
      </w: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568B2">
        <w:rPr>
          <w:rFonts w:asciiTheme="majorBidi" w:hAnsiTheme="majorBidi" w:cstheme="majorBidi"/>
          <w:b/>
          <w:bCs/>
          <w:sz w:val="24"/>
          <w:szCs w:val="24"/>
        </w:rPr>
        <w:t>Proceeding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from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Convention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on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Rights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of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Child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and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human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rights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perspective</w:t>
      </w: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policy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binding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state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agencies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serve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guidance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municipalities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county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councils.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National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policy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proceeds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basis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Convention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Rights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Child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human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rights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thus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also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mandatory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municipalities.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same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time,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National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policy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can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only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serve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guidance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relation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how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municipalities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choose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implement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policy.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Swedish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policy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also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linked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ongoing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EU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policy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cooperation.</w:t>
      </w: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568B2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youth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perspective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in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all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public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sector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decisions</w:t>
      </w: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All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public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sector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decisions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initiatives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are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include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perspective.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means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that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should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viewed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diverse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group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individuals,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should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given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support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become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independent,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should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have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opportunity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participate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decisions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made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society.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perspective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proceed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basis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having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voice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their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own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(participation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influence)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knowledge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about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people.</w:t>
      </w: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568B2">
        <w:rPr>
          <w:rFonts w:asciiTheme="majorBidi" w:hAnsiTheme="majorBidi" w:cstheme="majorBidi"/>
          <w:b/>
          <w:bCs/>
          <w:sz w:val="24"/>
          <w:szCs w:val="24"/>
        </w:rPr>
        <w:t>Municipal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responsibility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for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activating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young</w:t>
      </w:r>
      <w:r w:rsidR="00F424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b/>
          <w:bCs/>
          <w:sz w:val="24"/>
          <w:szCs w:val="24"/>
        </w:rPr>
        <w:t>people</w:t>
      </w:r>
    </w:p>
    <w:p w:rsidR="000568B2" w:rsidRPr="000568B2" w:rsidRDefault="000568B2" w:rsidP="00F424B6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Chapter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2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Swedish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Education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Act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assigns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municipalities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activation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responsibility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relation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who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are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under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20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years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age,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who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have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completed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compulsory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schooling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but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who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are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not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attending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upper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secondary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school.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means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that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municipality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required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provide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appropriate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individual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measures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that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are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first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foremost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intended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motivate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person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enter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education.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municipalities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are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also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required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maintain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register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covered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responsibility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document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their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measures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appropriate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way.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what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do: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work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produce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disseminate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knowledge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conditions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affecting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policy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its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goals.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emphasise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importance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fact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that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all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public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sector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activity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should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proceed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basis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perspective.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work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together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with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other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agencies,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among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other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things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participating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public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sector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agency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network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focused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issues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affecting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children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support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municipalities’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work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with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their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local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policy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means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LUPP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questionnaire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survey,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education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training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measures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by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supporting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municipalities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learning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from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one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another’s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experiences.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also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work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ensure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that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municipal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activities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are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based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youth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perspective.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means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municipalities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conducting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regular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follow-ups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people’s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living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conditions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making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use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information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about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basis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for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decisions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prioritisations.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In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addition,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the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municipalities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should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also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make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use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of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young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people’s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knowledge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and</w:t>
      </w:r>
      <w:r w:rsid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  <w:shd w:val="clear" w:color="auto" w:fill="FFFFFF"/>
        </w:rPr>
        <w:t>experiences.</w:t>
      </w: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568B2">
        <w:rPr>
          <w:rFonts w:asciiTheme="majorBidi" w:hAnsiTheme="majorBidi" w:cstheme="majorBidi"/>
          <w:b/>
          <w:bCs/>
          <w:sz w:val="28"/>
          <w:szCs w:val="28"/>
        </w:rPr>
        <w:t>Civil</w:t>
      </w:r>
      <w:r w:rsidR="00F424B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0568B2">
        <w:rPr>
          <w:rFonts w:asciiTheme="majorBidi" w:hAnsiTheme="majorBidi" w:cstheme="majorBidi"/>
          <w:b/>
          <w:bCs/>
          <w:sz w:val="28"/>
          <w:szCs w:val="28"/>
        </w:rPr>
        <w:t>society</w:t>
      </w: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government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wants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strengthen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civil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society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voices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therefore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introduced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new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method,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special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council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(sakråd),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systematically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take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advantage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civil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society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expertise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various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issues.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complements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other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forms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consultation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increases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quality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government's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support.</w:t>
      </w:r>
    </w:p>
    <w:p w:rsidR="000568B2" w:rsidRPr="000568B2" w:rsidRDefault="000568B2" w:rsidP="00F424B6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</w:rPr>
        <w:t>Thanks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method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government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offices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benefit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from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knowledge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civil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society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more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effective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transparent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way.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purpose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council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help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raise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quality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government's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work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deepening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broadening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government's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knowledge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perspectives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issues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where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civil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society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organizations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have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important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contributions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make.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method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flexible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can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used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different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extents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all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kinds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issues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government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offices,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such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early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dialogue,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when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need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rapid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acquisition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knowledge.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necessary,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other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actors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than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civil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society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invited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participate.</w:t>
      </w:r>
    </w:p>
    <w:p w:rsidR="000568B2" w:rsidRPr="000568B2" w:rsidRDefault="000568B2" w:rsidP="00F424B6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method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based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six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principles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that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basis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government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policy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civil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society: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autonomy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independence,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dialogue,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quality,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sustainability,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transparency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diversity.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Civil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society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has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played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important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role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development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council.</w:t>
      </w:r>
      <w:r w:rsidR="00F424B6">
        <w:rPr>
          <w:rFonts w:asciiTheme="majorBidi" w:hAnsiTheme="majorBidi" w:cstheme="majorBidi"/>
          <w:sz w:val="24"/>
          <w:szCs w:val="24"/>
        </w:rPr>
        <w:t xml:space="preserve">  </w:t>
      </w:r>
      <w:r w:rsidRPr="000568B2">
        <w:rPr>
          <w:rFonts w:asciiTheme="majorBidi" w:hAnsiTheme="majorBidi" w:cstheme="majorBidi"/>
          <w:sz w:val="24"/>
          <w:szCs w:val="24"/>
        </w:rPr>
        <w:t>More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than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100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organizations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have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participated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work.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method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now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starting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widely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used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government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offices.</w:t>
      </w:r>
    </w:p>
    <w:p w:rsidR="000568B2" w:rsidRPr="000568B2" w:rsidRDefault="000568B2" w:rsidP="000568B2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council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gives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good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structure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setting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for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dialogue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that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have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with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civil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society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other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stakeholders.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will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be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important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part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Government's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efforts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to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strengthen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consultation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arrangements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increase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participation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in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EU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work,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says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Oscar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Stenström,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Secretary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State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the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EU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and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Minister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of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trade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Ann</w:t>
      </w:r>
      <w:r w:rsid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0568B2">
        <w:rPr>
          <w:rFonts w:asciiTheme="majorBidi" w:hAnsiTheme="majorBidi" w:cstheme="majorBidi"/>
          <w:sz w:val="24"/>
          <w:szCs w:val="24"/>
        </w:rPr>
        <w:t>Linde.</w:t>
      </w:r>
    </w:p>
    <w:p w:rsidR="00F424B6" w:rsidRDefault="00F424B6" w:rsidP="000568B2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568B2" w:rsidRPr="00F424B6" w:rsidRDefault="000568B2" w:rsidP="000568B2">
      <w:p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424B6">
        <w:rPr>
          <w:rFonts w:asciiTheme="majorBidi" w:hAnsiTheme="majorBidi" w:cstheme="majorBidi"/>
          <w:b/>
          <w:bCs/>
          <w:sz w:val="28"/>
          <w:szCs w:val="28"/>
        </w:rPr>
        <w:t>Resources:</w:t>
      </w:r>
    </w:p>
    <w:p w:rsidR="000568B2" w:rsidRPr="00F424B6" w:rsidRDefault="000568B2" w:rsidP="00F424B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424B6">
        <w:rPr>
          <w:rFonts w:asciiTheme="majorBidi" w:hAnsiTheme="majorBidi" w:cstheme="majorBidi"/>
          <w:sz w:val="24"/>
          <w:szCs w:val="24"/>
        </w:rPr>
        <w:t>Göteborgs</w:t>
      </w:r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sz w:val="24"/>
          <w:szCs w:val="24"/>
        </w:rPr>
        <w:t>stad</w:t>
      </w:r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sz w:val="24"/>
          <w:szCs w:val="24"/>
        </w:rPr>
        <w:t>-</w:t>
      </w:r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sz w:val="24"/>
          <w:szCs w:val="24"/>
        </w:rPr>
        <w:t>The</w:t>
      </w:r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sz w:val="24"/>
          <w:szCs w:val="24"/>
        </w:rPr>
        <w:t>City</w:t>
      </w:r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sz w:val="24"/>
          <w:szCs w:val="24"/>
        </w:rPr>
        <w:t>of</w:t>
      </w:r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sz w:val="24"/>
          <w:szCs w:val="24"/>
        </w:rPr>
        <w:t>Gothenburg</w:t>
      </w:r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sz w:val="24"/>
          <w:szCs w:val="24"/>
        </w:rPr>
        <w:t>website</w:t>
      </w:r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sz w:val="24"/>
          <w:szCs w:val="24"/>
        </w:rPr>
        <w:t>Lagboken</w:t>
      </w:r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  <w:hyperlink r:id="rId5" w:history="1">
        <w:r w:rsidRPr="00F424B6">
          <w:rPr>
            <w:rStyle w:val="Hyperlink"/>
            <w:rFonts w:asciiTheme="majorBidi" w:hAnsiTheme="majorBidi" w:cstheme="majorBidi"/>
          </w:rPr>
          <w:t>https://www.lagboken.se/dokument/lagkommentarer/768416/11-kap.-10--skollagen---modersmalsundervisning?pageid=24593</w:t>
        </w:r>
      </w:hyperlink>
    </w:p>
    <w:p w:rsidR="00F424B6" w:rsidRPr="00F424B6" w:rsidRDefault="000568B2" w:rsidP="00F424B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424B6">
        <w:rPr>
          <w:rFonts w:asciiTheme="majorBidi" w:hAnsiTheme="majorBidi" w:cstheme="majorBidi"/>
          <w:sz w:val="24"/>
          <w:szCs w:val="24"/>
        </w:rPr>
        <w:t>Skolverket</w:t>
      </w:r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sz w:val="24"/>
          <w:szCs w:val="24"/>
        </w:rPr>
        <w:t>-</w:t>
      </w:r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sz w:val="24"/>
          <w:szCs w:val="24"/>
        </w:rPr>
        <w:t>The</w:t>
      </w:r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sz w:val="24"/>
          <w:szCs w:val="24"/>
        </w:rPr>
        <w:t>Swedish</w:t>
      </w:r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sz w:val="24"/>
          <w:szCs w:val="24"/>
        </w:rPr>
        <w:t>National</w:t>
      </w:r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sz w:val="24"/>
          <w:szCs w:val="24"/>
        </w:rPr>
        <w:t>Agency</w:t>
      </w:r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sz w:val="24"/>
          <w:szCs w:val="24"/>
        </w:rPr>
        <w:t>for</w:t>
      </w:r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  <w:r w:rsidRPr="00F424B6">
        <w:rPr>
          <w:rFonts w:asciiTheme="majorBidi" w:hAnsiTheme="majorBidi" w:cstheme="majorBidi"/>
          <w:sz w:val="24"/>
          <w:szCs w:val="24"/>
        </w:rPr>
        <w:t>Education</w:t>
      </w:r>
    </w:p>
    <w:p w:rsidR="000568B2" w:rsidRPr="00F424B6" w:rsidRDefault="00F424B6" w:rsidP="00F424B6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hyperlink r:id="rId6" w:history="1">
        <w:r w:rsidR="000568B2" w:rsidRPr="00F424B6">
          <w:rPr>
            <w:rStyle w:val="Hyperlink"/>
            <w:rFonts w:asciiTheme="majorBidi" w:hAnsiTheme="majorBidi" w:cstheme="majorBidi"/>
            <w:sz w:val="20"/>
            <w:szCs w:val="20"/>
          </w:rPr>
          <w:t>https://www.skolverket.se/om-skolverket/publikationer/visa-enskild-publikation?_xurl_=http%3A%2F%2Fwww5.skolverket.se%2Fwtpub%2Fws%2Fskolbok%2Fwpub</w:t>
        </w:r>
        <w:r w:rsidRPr="00F424B6">
          <w:rPr>
            <w:rStyle w:val="Hyperlink"/>
            <w:rFonts w:asciiTheme="majorBidi" w:hAnsiTheme="majorBidi" w:cstheme="majorBidi"/>
            <w:sz w:val="20"/>
            <w:szCs w:val="20"/>
          </w:rPr>
          <w:t xml:space="preserve"> </w:t>
        </w:r>
        <w:r w:rsidR="000568B2" w:rsidRPr="00F424B6">
          <w:rPr>
            <w:rStyle w:val="Hyperlink"/>
            <w:rFonts w:asciiTheme="majorBidi" w:hAnsiTheme="majorBidi" w:cstheme="majorBidi"/>
            <w:sz w:val="20"/>
            <w:szCs w:val="20"/>
          </w:rPr>
          <w:t>ext%2Ftrycksak%2FRecord%3Fk%3D1480</w:t>
        </w:r>
      </w:hyperlink>
    </w:p>
    <w:p w:rsidR="000568B2" w:rsidRPr="00F424B6" w:rsidRDefault="000568B2" w:rsidP="000568B2">
      <w:pPr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:rsidR="000568B2" w:rsidRPr="00F424B6" w:rsidRDefault="000568B2" w:rsidP="00F424B6">
      <w:pPr>
        <w:pStyle w:val="ListParagraph"/>
        <w:numPr>
          <w:ilvl w:val="0"/>
          <w:numId w:val="40"/>
        </w:num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7" w:history="1">
        <w:r w:rsidRPr="00F424B6">
          <w:rPr>
            <w:rFonts w:asciiTheme="majorBidi" w:hAnsiTheme="majorBidi" w:cstheme="majorBidi"/>
            <w:sz w:val="24"/>
            <w:szCs w:val="24"/>
            <w:u w:val="single"/>
          </w:rPr>
          <w:t>http://www.omsvenskaskolan.se/engelska/det-haer-aer-den-svenska-skolan/</w:t>
        </w:r>
      </w:hyperlink>
    </w:p>
    <w:p w:rsidR="000568B2" w:rsidRPr="00F424B6" w:rsidRDefault="000568B2" w:rsidP="00F424B6">
      <w:pPr>
        <w:pStyle w:val="ListParagraph"/>
        <w:numPr>
          <w:ilvl w:val="0"/>
          <w:numId w:val="40"/>
        </w:num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8" w:history="1">
        <w:r w:rsidRPr="00F424B6">
          <w:rPr>
            <w:rFonts w:asciiTheme="majorBidi" w:hAnsiTheme="majorBidi" w:cstheme="majorBidi"/>
            <w:sz w:val="24"/>
            <w:szCs w:val="24"/>
            <w:u w:val="single"/>
          </w:rPr>
          <w:t>http://www.utbildningsinfo.se/in-</w:t>
        </w:r>
        <w:r w:rsidRPr="00F424B6">
          <w:rPr>
            <w:rFonts w:asciiTheme="majorBidi" w:hAnsiTheme="majorBidi" w:cstheme="majorBidi"/>
            <w:sz w:val="24"/>
            <w:szCs w:val="24"/>
            <w:u w:val="single"/>
          </w:rPr>
          <w:t>e</w:t>
        </w:r>
        <w:r w:rsidRPr="00F424B6">
          <w:rPr>
            <w:rFonts w:asciiTheme="majorBidi" w:hAnsiTheme="majorBidi" w:cstheme="majorBidi"/>
            <w:sz w:val="24"/>
            <w:szCs w:val="24"/>
            <w:u w:val="single"/>
          </w:rPr>
          <w:t>nglish-1.3131</w:t>
        </w:r>
      </w:hyperlink>
      <w:r w:rsidR="00F424B6" w:rsidRPr="00F424B6">
        <w:rPr>
          <w:rFonts w:asciiTheme="majorBidi" w:hAnsiTheme="majorBidi" w:cstheme="majorBidi"/>
          <w:sz w:val="24"/>
          <w:szCs w:val="24"/>
        </w:rPr>
        <w:t xml:space="preserve"> </w:t>
      </w:r>
    </w:p>
    <w:p w:rsidR="000568B2" w:rsidRPr="00F424B6" w:rsidRDefault="000568B2" w:rsidP="00F424B6">
      <w:pPr>
        <w:pStyle w:val="ListParagraph"/>
        <w:numPr>
          <w:ilvl w:val="0"/>
          <w:numId w:val="40"/>
        </w:num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9" w:history="1">
        <w:r w:rsidRPr="00F424B6">
          <w:rPr>
            <w:rFonts w:asciiTheme="majorBidi" w:hAnsiTheme="majorBidi" w:cstheme="majorBidi"/>
            <w:sz w:val="24"/>
            <w:szCs w:val="24"/>
            <w:u w:val="single"/>
          </w:rPr>
          <w:t>http://www.regeringen.se/informationsmaterial/2015/12/det-har-ar-kulturdepartementet/</w:t>
        </w:r>
      </w:hyperlink>
    </w:p>
    <w:p w:rsidR="00F424B6" w:rsidRPr="00F424B6" w:rsidRDefault="00F424B6" w:rsidP="00F424B6">
      <w:pPr>
        <w:pStyle w:val="ListParagraph"/>
        <w:numPr>
          <w:ilvl w:val="0"/>
          <w:numId w:val="40"/>
        </w:num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0" w:history="1">
        <w:r w:rsidRPr="00F424B6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http://www.kulturradet.se/en/In-English/Cultural-policy/</w:t>
        </w:r>
      </w:hyperlink>
    </w:p>
    <w:p w:rsidR="000568B2" w:rsidRPr="00F424B6" w:rsidRDefault="000568B2" w:rsidP="00F424B6">
      <w:pPr>
        <w:pStyle w:val="ListParagraph"/>
        <w:numPr>
          <w:ilvl w:val="0"/>
          <w:numId w:val="40"/>
        </w:num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1" w:history="1">
        <w:r w:rsidRPr="00F424B6">
          <w:rPr>
            <w:rFonts w:asciiTheme="majorBidi" w:hAnsiTheme="majorBidi" w:cstheme="majorBidi"/>
            <w:sz w:val="24"/>
            <w:szCs w:val="24"/>
            <w:u w:val="single"/>
            <w:shd w:val="clear" w:color="auto" w:fill="FFFFFF"/>
          </w:rPr>
          <w:t>https://eng.mucf.se/swedens-youth-policy</w:t>
        </w:r>
      </w:hyperlink>
      <w:r w:rsidR="00F424B6" w:rsidRPr="00F424B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</w:p>
    <w:p w:rsidR="000568B2" w:rsidRPr="00F424B6" w:rsidRDefault="000568B2" w:rsidP="00F424B6">
      <w:pPr>
        <w:pStyle w:val="ListParagraph"/>
        <w:numPr>
          <w:ilvl w:val="0"/>
          <w:numId w:val="40"/>
        </w:numPr>
        <w:spacing w:after="120" w:line="240" w:lineRule="auto"/>
        <w:jc w:val="both"/>
        <w:rPr>
          <w:rFonts w:asciiTheme="majorBidi" w:hAnsiTheme="majorBidi" w:cstheme="majorBidi"/>
          <w:sz w:val="24"/>
          <w:szCs w:val="24"/>
        </w:rPr>
      </w:pPr>
      <w:hyperlink r:id="rId12" w:history="1">
        <w:r w:rsidRPr="00F424B6">
          <w:rPr>
            <w:rFonts w:asciiTheme="majorBidi" w:hAnsiTheme="majorBidi" w:cstheme="majorBidi"/>
            <w:sz w:val="24"/>
            <w:szCs w:val="24"/>
            <w:u w:val="single"/>
          </w:rPr>
          <w:t>http://www.regeringen.se/artiklar/2017/02/sakrad-ny-metod-for-att-inhamta-kunskaper-fran-civilsamhallet/</w:t>
        </w:r>
      </w:hyperlink>
    </w:p>
    <w:sectPr w:rsidR="000568B2" w:rsidRPr="00F424B6" w:rsidSect="0073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691"/>
    <w:multiLevelType w:val="hybridMultilevel"/>
    <w:tmpl w:val="FC26DCB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1C87EA1"/>
    <w:multiLevelType w:val="hybridMultilevel"/>
    <w:tmpl w:val="A2F07FA2"/>
    <w:lvl w:ilvl="0" w:tplc="1214CC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F454BA"/>
    <w:multiLevelType w:val="hybridMultilevel"/>
    <w:tmpl w:val="4FD86A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75714"/>
    <w:multiLevelType w:val="hybridMultilevel"/>
    <w:tmpl w:val="D53014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F1877"/>
    <w:multiLevelType w:val="hybridMultilevel"/>
    <w:tmpl w:val="95A8E4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A4B41"/>
    <w:multiLevelType w:val="hybridMultilevel"/>
    <w:tmpl w:val="6AC202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DE791D"/>
    <w:multiLevelType w:val="hybridMultilevel"/>
    <w:tmpl w:val="243C5F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493E62"/>
    <w:multiLevelType w:val="hybridMultilevel"/>
    <w:tmpl w:val="CB96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01912"/>
    <w:multiLevelType w:val="hybridMultilevel"/>
    <w:tmpl w:val="E19CB1F2"/>
    <w:lvl w:ilvl="0" w:tplc="042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25B5240"/>
    <w:multiLevelType w:val="hybridMultilevel"/>
    <w:tmpl w:val="2CCA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C4474"/>
    <w:multiLevelType w:val="hybridMultilevel"/>
    <w:tmpl w:val="C8A0440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5823FE8"/>
    <w:multiLevelType w:val="hybridMultilevel"/>
    <w:tmpl w:val="D4E847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476FE"/>
    <w:multiLevelType w:val="hybridMultilevel"/>
    <w:tmpl w:val="6C52047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B43163E"/>
    <w:multiLevelType w:val="hybridMultilevel"/>
    <w:tmpl w:val="21FAF40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8E779F"/>
    <w:multiLevelType w:val="hybridMultilevel"/>
    <w:tmpl w:val="C27C7F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D0F37"/>
    <w:multiLevelType w:val="hybridMultilevel"/>
    <w:tmpl w:val="ECAC3342"/>
    <w:lvl w:ilvl="0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20C84086"/>
    <w:multiLevelType w:val="hybridMultilevel"/>
    <w:tmpl w:val="0B786AC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2975B9"/>
    <w:multiLevelType w:val="hybridMultilevel"/>
    <w:tmpl w:val="098805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146905"/>
    <w:multiLevelType w:val="hybridMultilevel"/>
    <w:tmpl w:val="7DBC389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F34439"/>
    <w:multiLevelType w:val="multilevel"/>
    <w:tmpl w:val="E618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D66302"/>
    <w:multiLevelType w:val="hybridMultilevel"/>
    <w:tmpl w:val="01F8CE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4140B2"/>
    <w:multiLevelType w:val="multilevel"/>
    <w:tmpl w:val="74D80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FB520A"/>
    <w:multiLevelType w:val="hybridMultilevel"/>
    <w:tmpl w:val="42D8CC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33DDC"/>
    <w:multiLevelType w:val="multilevel"/>
    <w:tmpl w:val="B44071B8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3CB069BA"/>
    <w:multiLevelType w:val="hybridMultilevel"/>
    <w:tmpl w:val="BC06A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A24A2D"/>
    <w:multiLevelType w:val="hybridMultilevel"/>
    <w:tmpl w:val="C68ED9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B6845"/>
    <w:multiLevelType w:val="hybridMultilevel"/>
    <w:tmpl w:val="EC7852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0B22C1"/>
    <w:multiLevelType w:val="hybridMultilevel"/>
    <w:tmpl w:val="03A072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152A7F"/>
    <w:multiLevelType w:val="hybridMultilevel"/>
    <w:tmpl w:val="218C64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C96C8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E239E1"/>
    <w:multiLevelType w:val="multilevel"/>
    <w:tmpl w:val="443E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A810E1"/>
    <w:multiLevelType w:val="hybridMultilevel"/>
    <w:tmpl w:val="98C07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34DDE"/>
    <w:multiLevelType w:val="hybridMultilevel"/>
    <w:tmpl w:val="6646E3B0"/>
    <w:lvl w:ilvl="0" w:tplc="3F10A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F2D64"/>
    <w:multiLevelType w:val="hybridMultilevel"/>
    <w:tmpl w:val="47B418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BC0615"/>
    <w:multiLevelType w:val="hybridMultilevel"/>
    <w:tmpl w:val="00ECC442"/>
    <w:lvl w:ilvl="0" w:tplc="041D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60A83"/>
    <w:multiLevelType w:val="hybridMultilevel"/>
    <w:tmpl w:val="D50CA7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95163"/>
    <w:multiLevelType w:val="hybridMultilevel"/>
    <w:tmpl w:val="ED4886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A75E19"/>
    <w:multiLevelType w:val="hybridMultilevel"/>
    <w:tmpl w:val="CB32F68C"/>
    <w:lvl w:ilvl="0" w:tplc="4FA262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817A2E"/>
    <w:multiLevelType w:val="hybridMultilevel"/>
    <w:tmpl w:val="365CD1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6D5FE6"/>
    <w:multiLevelType w:val="multilevel"/>
    <w:tmpl w:val="9E8CD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AC4F21"/>
    <w:multiLevelType w:val="hybridMultilevel"/>
    <w:tmpl w:val="F0D6CB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1"/>
  </w:num>
  <w:num w:numId="4">
    <w:abstractNumId w:val="13"/>
  </w:num>
  <w:num w:numId="5">
    <w:abstractNumId w:val="36"/>
  </w:num>
  <w:num w:numId="6">
    <w:abstractNumId w:val="15"/>
  </w:num>
  <w:num w:numId="7">
    <w:abstractNumId w:val="7"/>
  </w:num>
  <w:num w:numId="8">
    <w:abstractNumId w:val="0"/>
  </w:num>
  <w:num w:numId="9">
    <w:abstractNumId w:val="9"/>
  </w:num>
  <w:num w:numId="10">
    <w:abstractNumId w:val="26"/>
  </w:num>
  <w:num w:numId="11">
    <w:abstractNumId w:val="14"/>
  </w:num>
  <w:num w:numId="12">
    <w:abstractNumId w:val="22"/>
  </w:num>
  <w:num w:numId="13">
    <w:abstractNumId w:val="34"/>
  </w:num>
  <w:num w:numId="14">
    <w:abstractNumId w:val="28"/>
  </w:num>
  <w:num w:numId="15">
    <w:abstractNumId w:val="17"/>
  </w:num>
  <w:num w:numId="16">
    <w:abstractNumId w:val="8"/>
  </w:num>
  <w:num w:numId="17">
    <w:abstractNumId w:val="16"/>
  </w:num>
  <w:num w:numId="18">
    <w:abstractNumId w:val="39"/>
  </w:num>
  <w:num w:numId="19">
    <w:abstractNumId w:val="25"/>
  </w:num>
  <w:num w:numId="20">
    <w:abstractNumId w:val="32"/>
  </w:num>
  <w:num w:numId="21">
    <w:abstractNumId w:val="29"/>
  </w:num>
  <w:num w:numId="22">
    <w:abstractNumId w:val="19"/>
  </w:num>
  <w:num w:numId="23">
    <w:abstractNumId w:val="37"/>
  </w:num>
  <w:num w:numId="24">
    <w:abstractNumId w:val="10"/>
  </w:num>
  <w:num w:numId="25">
    <w:abstractNumId w:val="35"/>
  </w:num>
  <w:num w:numId="26">
    <w:abstractNumId w:val="12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1"/>
  </w:num>
  <w:num w:numId="35">
    <w:abstractNumId w:val="38"/>
  </w:num>
  <w:num w:numId="36">
    <w:abstractNumId w:val="2"/>
  </w:num>
  <w:num w:numId="37">
    <w:abstractNumId w:val="30"/>
  </w:num>
  <w:num w:numId="38">
    <w:abstractNumId w:val="1"/>
  </w:num>
  <w:num w:numId="39">
    <w:abstractNumId w:val="11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0568B2"/>
    <w:rsid w:val="000568B2"/>
    <w:rsid w:val="00732BD7"/>
    <w:rsid w:val="00F4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8B2"/>
  </w:style>
  <w:style w:type="paragraph" w:styleId="Heading1">
    <w:name w:val="heading 1"/>
    <w:basedOn w:val="Normal"/>
    <w:next w:val="Normal"/>
    <w:link w:val="Heading1Char"/>
    <w:uiPriority w:val="9"/>
    <w:qFormat/>
    <w:rsid w:val="00056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8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6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8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05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8B2"/>
  </w:style>
  <w:style w:type="paragraph" w:styleId="Footer">
    <w:name w:val="footer"/>
    <w:basedOn w:val="Normal"/>
    <w:link w:val="FooterChar"/>
    <w:uiPriority w:val="99"/>
    <w:semiHidden/>
    <w:unhideWhenUsed/>
    <w:rsid w:val="0005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68B2"/>
  </w:style>
  <w:style w:type="paragraph" w:styleId="ListParagraph">
    <w:name w:val="List Paragraph"/>
    <w:basedOn w:val="Normal"/>
    <w:uiPriority w:val="34"/>
    <w:qFormat/>
    <w:rsid w:val="000568B2"/>
    <w:pPr>
      <w:ind w:left="720"/>
      <w:contextualSpacing/>
    </w:pPr>
  </w:style>
  <w:style w:type="paragraph" w:customStyle="1" w:styleId="TableContentsuser">
    <w:name w:val="Table Contents (user)"/>
    <w:basedOn w:val="Normal"/>
    <w:rsid w:val="000568B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0568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0568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  <w:style w:type="numbering" w:customStyle="1" w:styleId="WW8Num3">
    <w:name w:val="WW8Num3"/>
    <w:basedOn w:val="NoList"/>
    <w:rsid w:val="000568B2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0568B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568B2"/>
  </w:style>
  <w:style w:type="character" w:customStyle="1" w:styleId="StrongEmphasis">
    <w:name w:val="Strong Emphasis"/>
    <w:rsid w:val="000568B2"/>
    <w:rPr>
      <w:b/>
      <w:bCs/>
    </w:rPr>
  </w:style>
  <w:style w:type="paragraph" w:styleId="NormalWeb">
    <w:name w:val="Normal (Web)"/>
    <w:basedOn w:val="Normal"/>
    <w:uiPriority w:val="99"/>
    <w:unhideWhenUsed/>
    <w:rsid w:val="0005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0568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B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68B2"/>
    <w:pPr>
      <w:spacing w:after="0" w:line="240" w:lineRule="auto"/>
    </w:pPr>
    <w:rPr>
      <w:rFonts w:ascii="Consolas" w:hAnsi="Consolas" w:cs="Consolas"/>
      <w:sz w:val="20"/>
      <w:szCs w:val="20"/>
      <w:lang w:val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68B2"/>
    <w:rPr>
      <w:rFonts w:ascii="Consolas" w:hAnsi="Consolas" w:cs="Consolas"/>
      <w:sz w:val="20"/>
      <w:szCs w:val="20"/>
      <w:lang w:val="sv-SE"/>
    </w:rPr>
  </w:style>
  <w:style w:type="paragraph" w:styleId="BodyText">
    <w:name w:val="Body Text"/>
    <w:basedOn w:val="Normal"/>
    <w:link w:val="BodyTextChar"/>
    <w:rsid w:val="000568B2"/>
    <w:pPr>
      <w:widowControl w:val="0"/>
      <w:spacing w:after="12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0568B2"/>
    <w:rPr>
      <w:rFonts w:ascii="Times New Roman" w:eastAsia="Andale Sans UI" w:hAnsi="Times New Roman" w:cs="Tahoma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bildningsinfo.se/in-english-1.31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msvenskaskolan.se/engelska/det-haer-aer-den-svenska-skolan/" TargetMode="External"/><Relationship Id="rId12" Type="http://schemas.openxmlformats.org/officeDocument/2006/relationships/hyperlink" Target="http://www.regeringen.se/artiklar/2017/02/sakrad-ny-metod-for-att-inhamta-kunskaper-fran-civilsamhall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olverket.se/om-skolverket/publikationer/visa-enskild-publikation?_" TargetMode="External"/><Relationship Id="rId11" Type="http://schemas.openxmlformats.org/officeDocument/2006/relationships/hyperlink" Target="https://eng.mucf.se/swedens-youth-policy" TargetMode="External"/><Relationship Id="rId5" Type="http://schemas.openxmlformats.org/officeDocument/2006/relationships/hyperlink" Target="https://www.lagboken.se/dokument/lagkommentarer/768416/11-kap.-10--skollagen---modersmalsundervisning?pageid=24593" TargetMode="External"/><Relationship Id="rId10" Type="http://schemas.openxmlformats.org/officeDocument/2006/relationships/hyperlink" Target="http://www.kulturradet.se/en/In-English/Cultural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eringen.se/informationsmaterial/2015/12/det-har-ar-kulturdepartement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2317</Words>
  <Characters>13440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Swedish Education, Culture, Youth and Civil Society policies</vt:lpstr>
    </vt:vector>
  </TitlesOfParts>
  <Company>Hewlett-Packard</Company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2017-05-27T19:45:00Z</dcterms:created>
  <dcterms:modified xsi:type="dcterms:W3CDTF">2017-05-27T20:06:00Z</dcterms:modified>
</cp:coreProperties>
</file>