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CE" w:rsidRPr="003112CE" w:rsidRDefault="003112CE" w:rsidP="003112CE">
      <w:pPr>
        <w:pStyle w:val="Heading1"/>
        <w:spacing w:before="0" w:after="120" w:line="240" w:lineRule="auto"/>
        <w:rPr>
          <w:sz w:val="32"/>
          <w:szCs w:val="32"/>
        </w:rPr>
      </w:pPr>
      <w:r w:rsidRPr="003112CE">
        <w:rPr>
          <w:sz w:val="32"/>
          <w:szCs w:val="32"/>
        </w:rPr>
        <w:t>Tunisian Education, Culture, Youth and Civil Society policies</w:t>
      </w:r>
    </w:p>
    <w:p w:rsidR="003112CE" w:rsidRPr="007B3AD4" w:rsidRDefault="003112CE" w:rsidP="003112CE">
      <w:pPr>
        <w:pStyle w:val="ListParagraph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3112CE" w:rsidRPr="007B3AD4" w:rsidRDefault="003112CE" w:rsidP="003112CE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112CE">
        <w:rPr>
          <w:rFonts w:asciiTheme="majorBidi" w:hAnsiTheme="majorBidi" w:cstheme="majorBidi"/>
          <w:b/>
          <w:bCs/>
          <w:sz w:val="28"/>
          <w:szCs w:val="28"/>
        </w:rPr>
        <w:t>Education Policy in Tunisia</w:t>
      </w:r>
      <w:r w:rsidRPr="003112CE">
        <w:rPr>
          <w:rFonts w:asciiTheme="majorBidi" w:hAnsiTheme="majorBidi" w:cstheme="majorBidi"/>
          <w:sz w:val="28"/>
          <w:szCs w:val="28"/>
        </w:rPr>
        <w:t>: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6-3-4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formal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structure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established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2001.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7B3AD4">
        <w:rPr>
          <w:rFonts w:asciiTheme="majorBidi" w:hAnsiTheme="majorBidi" w:cstheme="majorBidi"/>
          <w:sz w:val="24"/>
          <w:szCs w:val="24"/>
        </w:rPr>
        <w:t>Primary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official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duration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grades.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Basic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consists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grades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9.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consists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grades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first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considered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common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branch,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choose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orientation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among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specialties;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Information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Technology,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Mathematics,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Science,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Economy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Management,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Technical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science.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year,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Baccalaureate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degree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after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passing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Baccalaureate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Exam.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After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independence,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witnessed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remarkable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progress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creating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solid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human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recourses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responds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country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phase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development.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Substantial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reforms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took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place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1990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covered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childhood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Basic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High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Basic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mandatory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counts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asset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youth.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Nonetheless,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Revolution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revealed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tremendous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flaws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different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Major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problems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emerged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unemployables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issue;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High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compatible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employment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Market.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Another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issue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highlighted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problem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corruption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instance,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competence,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scientific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demands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rigor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should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take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precedence,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vested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interests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degenerate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effect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repercussions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value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degrees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devalued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graduates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showed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little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promise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employability.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least,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neglecting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elementary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key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player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process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student.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112CE" w:rsidRPr="003112CE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112CE">
        <w:rPr>
          <w:rFonts w:asciiTheme="majorBidi" w:hAnsiTheme="majorBidi" w:cstheme="majorBidi"/>
          <w:b/>
          <w:bCs/>
          <w:sz w:val="28"/>
          <w:szCs w:val="28"/>
        </w:rPr>
        <w:t>Culture Policy in Tunisia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civilizations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alternated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previous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3000years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created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vast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history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diverse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Carthaginian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civilization,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Roman,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Vandal,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Jewish,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Christian,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Arab,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Islamic,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Turkish,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French,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addition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Amazigh.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diversity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witnessed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aspects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Customs,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traditions.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existent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diverse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legacy,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despite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progress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latest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facilitate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encourage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still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consider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successive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present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significant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reforms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improve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opposite,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facing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major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challenges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classified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categories;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Private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production,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control,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Cinema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crisis,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book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crisis.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Concerning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Private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production,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resources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distribution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resources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leads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production,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leads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next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category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control.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commonly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agreed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professionals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public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television/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radio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programs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does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expectation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receivers.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product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very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popular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content.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About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cinema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crises,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remarkable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decrease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films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produced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nationally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each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181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1982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50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2002.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films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supported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ministry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culture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reluctance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public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attend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cinema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represents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substantial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factor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behind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dilemma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technological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evolution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internet.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Today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number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cinemas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dramatically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reduced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remaining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suffering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very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mediocre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conditions.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book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crisis,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similarly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filming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endures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times.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issue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blamed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lack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distribution.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Legal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barriers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addition,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huge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obstacle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progress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sector.</w:t>
      </w:r>
    </w:p>
    <w:p w:rsidR="003112CE" w:rsidRPr="003112CE" w:rsidRDefault="003112CE" w:rsidP="003112CE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3112CE">
        <w:rPr>
          <w:rFonts w:asciiTheme="majorBidi" w:hAnsiTheme="majorBidi" w:cstheme="majorBidi"/>
          <w:b/>
          <w:bCs/>
          <w:sz w:val="28"/>
          <w:szCs w:val="28"/>
        </w:rPr>
        <w:lastRenderedPageBreak/>
        <w:t>Youth Policy in Tunisia</w:t>
      </w:r>
      <w:r w:rsidRPr="003112CE">
        <w:rPr>
          <w:rFonts w:asciiTheme="majorBidi" w:hAnsiTheme="majorBidi" w:cstheme="majorBidi"/>
          <w:sz w:val="28"/>
          <w:szCs w:val="28"/>
        </w:rPr>
        <w:t>: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represents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about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35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percent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population.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important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portion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population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represents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significant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resource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country.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demonstrated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huge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power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change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leadership.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Jasmin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revolution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represents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showed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great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civilization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creativity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during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protest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against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dictatorship.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despite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involvement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Revolutionary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change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witnessed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Terms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freedoms,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find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first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portion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excluded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building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decision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process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Economic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chocks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taking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place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period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revealed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sensitivity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women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employment;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1/3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30%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employed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lost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job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between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2011.Youth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lowest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participation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election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both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explained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absence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lack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representativeness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parties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proposed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programs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negligence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decision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makers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powerful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entity.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result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marginalization,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youth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massively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targeted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extremist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groups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significant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smuggling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group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created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order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afford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living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expenses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dramatically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economy.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Solid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strategy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followed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order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tackle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issues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concretely.</w:t>
      </w:r>
    </w:p>
    <w:p w:rsidR="003112CE" w:rsidRDefault="003112CE" w:rsidP="003112CE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112CE" w:rsidRPr="003112CE" w:rsidRDefault="003112CE" w:rsidP="003112CE">
      <w:pPr>
        <w:pStyle w:val="ListParagraph"/>
        <w:spacing w:after="120"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3112CE">
        <w:rPr>
          <w:rFonts w:asciiTheme="majorBidi" w:hAnsiTheme="majorBidi" w:cstheme="majorBidi"/>
          <w:b/>
          <w:bCs/>
          <w:sz w:val="28"/>
          <w:szCs w:val="28"/>
        </w:rPr>
        <w:t>Civil Society Policy in Tunisia</w:t>
      </w:r>
    </w:p>
    <w:p w:rsidR="003112CE" w:rsidRPr="007B3AD4" w:rsidRDefault="003112CE" w:rsidP="003112CE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AD4">
        <w:rPr>
          <w:rFonts w:asciiTheme="majorBidi" w:hAnsiTheme="majorBidi" w:cstheme="majorBidi"/>
          <w:sz w:val="24"/>
          <w:szCs w:val="24"/>
        </w:rPr>
        <w:t>After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revolution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2010,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witnessed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booming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NGOs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Education,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Leadership,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Human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Rights,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problematic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huge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international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funds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allocated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NGOs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boost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democratic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transition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development.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About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15,000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NGOs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emerged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Civil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nowadays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represents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powerful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change.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witnessed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assistance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300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civil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societies’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entities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constitution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December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among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“Bawsala”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observatory.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Furthermore,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NGOs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played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key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role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preventing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conflict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maintaining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evidence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Dialogue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Quartet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composed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General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Labour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Union,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Confederation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Industry,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Trade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Handicrafts,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Human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Rights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League,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Order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Lawyers,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awarded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Nobel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Peace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Prize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deep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contribution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creation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pluralistic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democracy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Tunisia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wake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Jasmine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Revolution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2011.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Again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sector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also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own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problems.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major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issue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non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sustainability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since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international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funds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diminishing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time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lack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funding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3AD4">
        <w:rPr>
          <w:rFonts w:asciiTheme="majorBidi" w:hAnsiTheme="majorBidi" w:cstheme="majorBidi"/>
          <w:sz w:val="24"/>
          <w:szCs w:val="24"/>
        </w:rPr>
        <w:t>government.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112CE" w:rsidRPr="007B3AD4" w:rsidRDefault="003112CE" w:rsidP="003112CE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3112CE" w:rsidRPr="003112CE" w:rsidRDefault="003112CE" w:rsidP="003112CE">
      <w:pPr>
        <w:pStyle w:val="ListParagraph"/>
        <w:spacing w:after="12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3112CE" w:rsidRPr="003112CE" w:rsidRDefault="003112CE" w:rsidP="003112CE">
      <w:pPr>
        <w:spacing w:after="120" w:line="240" w:lineRule="auto"/>
        <w:rPr>
          <w:rFonts w:asciiTheme="majorBidi" w:hAnsiTheme="majorBidi" w:cstheme="majorBidi"/>
          <w:b/>
          <w:bCs/>
          <w:sz w:val="28"/>
          <w:szCs w:val="24"/>
        </w:rPr>
      </w:pPr>
      <w:r w:rsidRPr="003112CE">
        <w:rPr>
          <w:rFonts w:asciiTheme="majorBidi" w:hAnsiTheme="majorBidi" w:cstheme="majorBidi"/>
          <w:b/>
          <w:bCs/>
          <w:sz w:val="28"/>
          <w:szCs w:val="24"/>
        </w:rPr>
        <w:t>Resources:</w:t>
      </w:r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5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http://www.epdc.org/country/tunisia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6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http://www.reference.education.gov.tn/2016-02-20/PlanStrategiqueSectoriel.pdf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7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http://www.universityworldnews.com/article.php?story=20111120095403594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8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http://www.iri.org/Tunisia_2014_Presidential/1/assets/common/downloads/publication.pdf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9" w:anchor="Education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https://en.wikipedia.org/wiki/Culture_of_Tunisia#Education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10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http://www.worldcp.org/tunisia.php?aid=41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11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http://www.worldbank.org/en/country/tunisia/publication/tunisia-breaking-the-barriers-to-youth-inclusion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12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http://countrymeters.info/en/Tunisia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13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http://www.youthpolicy.org/pdfs/factsheets/tunisia.pdf</w:t>
        </w:r>
      </w:hyperlink>
    </w:p>
    <w:p w:rsidR="003112CE" w:rsidRPr="003112CE" w:rsidRDefault="003112CE" w:rsidP="003112CE">
      <w:pPr>
        <w:pStyle w:val="ListParagraph"/>
        <w:numPr>
          <w:ilvl w:val="0"/>
          <w:numId w:val="39"/>
        </w:numPr>
        <w:spacing w:after="120" w:line="240" w:lineRule="auto"/>
        <w:ind w:left="360"/>
        <w:rPr>
          <w:rFonts w:asciiTheme="majorBidi" w:hAnsiTheme="majorBidi" w:cstheme="majorBidi"/>
          <w:sz w:val="24"/>
          <w:szCs w:val="24"/>
        </w:rPr>
      </w:pPr>
      <w:hyperlink r:id="rId14" w:history="1">
        <w:r w:rsidRPr="003112CE">
          <w:rPr>
            <w:rStyle w:val="Hyperlink"/>
            <w:rFonts w:asciiTheme="majorBidi" w:hAnsiTheme="majorBidi" w:cstheme="majorBidi"/>
            <w:sz w:val="24"/>
            <w:szCs w:val="24"/>
          </w:rPr>
          <w:t>http://scholar.colorado.edu/cgi/viewcontent.cgi?article=2212&amp;context=honr_theses</w:t>
        </w:r>
      </w:hyperlink>
    </w:p>
    <w:p w:rsidR="003112CE" w:rsidRPr="007B3AD4" w:rsidRDefault="003112CE" w:rsidP="003112CE">
      <w:pPr>
        <w:pStyle w:val="ListParagraph"/>
        <w:spacing w:after="120" w:line="240" w:lineRule="auto"/>
        <w:ind w:left="-360"/>
        <w:rPr>
          <w:rFonts w:asciiTheme="majorBidi" w:hAnsiTheme="majorBidi" w:cstheme="majorBidi"/>
          <w:sz w:val="24"/>
          <w:szCs w:val="24"/>
        </w:rPr>
      </w:pPr>
    </w:p>
    <w:p w:rsidR="00732BD7" w:rsidRDefault="00732BD7" w:rsidP="003112CE">
      <w:pPr>
        <w:spacing w:after="120" w:line="240" w:lineRule="auto"/>
      </w:pPr>
    </w:p>
    <w:sectPr w:rsidR="00732BD7" w:rsidSect="0073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691"/>
    <w:multiLevelType w:val="hybridMultilevel"/>
    <w:tmpl w:val="FC26DC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C87EA1"/>
    <w:multiLevelType w:val="hybridMultilevel"/>
    <w:tmpl w:val="A2F07FA2"/>
    <w:lvl w:ilvl="0" w:tplc="1214C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F454BA"/>
    <w:multiLevelType w:val="hybridMultilevel"/>
    <w:tmpl w:val="4FD86A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75714"/>
    <w:multiLevelType w:val="hybridMultilevel"/>
    <w:tmpl w:val="D53014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F1877"/>
    <w:multiLevelType w:val="hybridMultilevel"/>
    <w:tmpl w:val="95A8E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A4B41"/>
    <w:multiLevelType w:val="hybridMultilevel"/>
    <w:tmpl w:val="6AC202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E791D"/>
    <w:multiLevelType w:val="hybridMultilevel"/>
    <w:tmpl w:val="243C5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93E62"/>
    <w:multiLevelType w:val="hybridMultilevel"/>
    <w:tmpl w:val="CB96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01912"/>
    <w:multiLevelType w:val="hybridMultilevel"/>
    <w:tmpl w:val="E19CB1F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25B5240"/>
    <w:multiLevelType w:val="hybridMultilevel"/>
    <w:tmpl w:val="2CCA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C4474"/>
    <w:multiLevelType w:val="hybridMultilevel"/>
    <w:tmpl w:val="C8A0440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72476FE"/>
    <w:multiLevelType w:val="hybridMultilevel"/>
    <w:tmpl w:val="6C52047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B43163E"/>
    <w:multiLevelType w:val="hybridMultilevel"/>
    <w:tmpl w:val="21FAF4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E779F"/>
    <w:multiLevelType w:val="hybridMultilevel"/>
    <w:tmpl w:val="C27C7F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D0F37"/>
    <w:multiLevelType w:val="hybridMultilevel"/>
    <w:tmpl w:val="18302F50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0C84086"/>
    <w:multiLevelType w:val="hybridMultilevel"/>
    <w:tmpl w:val="0B786AC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975B9"/>
    <w:multiLevelType w:val="hybridMultilevel"/>
    <w:tmpl w:val="098805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46905"/>
    <w:multiLevelType w:val="hybridMultilevel"/>
    <w:tmpl w:val="7DBC3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33D57"/>
    <w:multiLevelType w:val="hybridMultilevel"/>
    <w:tmpl w:val="E0664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34439"/>
    <w:multiLevelType w:val="multilevel"/>
    <w:tmpl w:val="E61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66302"/>
    <w:multiLevelType w:val="hybridMultilevel"/>
    <w:tmpl w:val="01F8CE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140B2"/>
    <w:multiLevelType w:val="multilevel"/>
    <w:tmpl w:val="74D80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FB520A"/>
    <w:multiLevelType w:val="hybridMultilevel"/>
    <w:tmpl w:val="42D8C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33DDC"/>
    <w:multiLevelType w:val="multilevel"/>
    <w:tmpl w:val="B44071B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CB069BA"/>
    <w:multiLevelType w:val="hybridMultilevel"/>
    <w:tmpl w:val="BC06A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24A2D"/>
    <w:multiLevelType w:val="hybridMultilevel"/>
    <w:tmpl w:val="C68ED9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B6845"/>
    <w:multiLevelType w:val="hybridMultilevel"/>
    <w:tmpl w:val="EC7852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52A7F"/>
    <w:multiLevelType w:val="hybridMultilevel"/>
    <w:tmpl w:val="218C64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C96C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239E1"/>
    <w:multiLevelType w:val="multilevel"/>
    <w:tmpl w:val="443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A810E1"/>
    <w:multiLevelType w:val="hybridMultilevel"/>
    <w:tmpl w:val="98C0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34DDE"/>
    <w:multiLevelType w:val="hybridMultilevel"/>
    <w:tmpl w:val="6646E3B0"/>
    <w:lvl w:ilvl="0" w:tplc="3F10A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F2D64"/>
    <w:multiLevelType w:val="hybridMultilevel"/>
    <w:tmpl w:val="47B418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C0615"/>
    <w:multiLevelType w:val="hybridMultilevel"/>
    <w:tmpl w:val="00ECC442"/>
    <w:lvl w:ilvl="0" w:tplc="041D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60A83"/>
    <w:multiLevelType w:val="hybridMultilevel"/>
    <w:tmpl w:val="D50CA7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95163"/>
    <w:multiLevelType w:val="hybridMultilevel"/>
    <w:tmpl w:val="ED488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75E19"/>
    <w:multiLevelType w:val="hybridMultilevel"/>
    <w:tmpl w:val="CB32F68C"/>
    <w:lvl w:ilvl="0" w:tplc="4FA262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817A2E"/>
    <w:multiLevelType w:val="hybridMultilevel"/>
    <w:tmpl w:val="365CD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D5FE6"/>
    <w:multiLevelType w:val="multilevel"/>
    <w:tmpl w:val="9E8CD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C4F21"/>
    <w:multiLevelType w:val="hybridMultilevel"/>
    <w:tmpl w:val="F0D6C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0"/>
  </w:num>
  <w:num w:numId="4">
    <w:abstractNumId w:val="12"/>
  </w:num>
  <w:num w:numId="5">
    <w:abstractNumId w:val="35"/>
  </w:num>
  <w:num w:numId="6">
    <w:abstractNumId w:val="14"/>
  </w:num>
  <w:num w:numId="7">
    <w:abstractNumId w:val="7"/>
  </w:num>
  <w:num w:numId="8">
    <w:abstractNumId w:val="0"/>
  </w:num>
  <w:num w:numId="9">
    <w:abstractNumId w:val="9"/>
  </w:num>
  <w:num w:numId="10">
    <w:abstractNumId w:val="26"/>
  </w:num>
  <w:num w:numId="11">
    <w:abstractNumId w:val="13"/>
  </w:num>
  <w:num w:numId="12">
    <w:abstractNumId w:val="22"/>
  </w:num>
  <w:num w:numId="13">
    <w:abstractNumId w:val="33"/>
  </w:num>
  <w:num w:numId="14">
    <w:abstractNumId w:val="27"/>
  </w:num>
  <w:num w:numId="15">
    <w:abstractNumId w:val="16"/>
  </w:num>
  <w:num w:numId="16">
    <w:abstractNumId w:val="8"/>
  </w:num>
  <w:num w:numId="17">
    <w:abstractNumId w:val="15"/>
  </w:num>
  <w:num w:numId="18">
    <w:abstractNumId w:val="38"/>
  </w:num>
  <w:num w:numId="19">
    <w:abstractNumId w:val="25"/>
  </w:num>
  <w:num w:numId="20">
    <w:abstractNumId w:val="31"/>
  </w:num>
  <w:num w:numId="21">
    <w:abstractNumId w:val="28"/>
  </w:num>
  <w:num w:numId="22">
    <w:abstractNumId w:val="19"/>
  </w:num>
  <w:num w:numId="23">
    <w:abstractNumId w:val="36"/>
  </w:num>
  <w:num w:numId="24">
    <w:abstractNumId w:val="10"/>
  </w:num>
  <w:num w:numId="25">
    <w:abstractNumId w:val="34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1"/>
  </w:num>
  <w:num w:numId="35">
    <w:abstractNumId w:val="37"/>
  </w:num>
  <w:num w:numId="36">
    <w:abstractNumId w:val="2"/>
  </w:num>
  <w:num w:numId="37">
    <w:abstractNumId w:val="29"/>
  </w:num>
  <w:num w:numId="38">
    <w:abstractNumId w:val="1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112CE"/>
    <w:rsid w:val="003112CE"/>
    <w:rsid w:val="0073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CE"/>
  </w:style>
  <w:style w:type="paragraph" w:styleId="Heading1">
    <w:name w:val="heading 1"/>
    <w:basedOn w:val="Normal"/>
    <w:next w:val="Normal"/>
    <w:link w:val="Heading1Char"/>
    <w:uiPriority w:val="9"/>
    <w:qFormat/>
    <w:rsid w:val="00311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2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31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2CE"/>
  </w:style>
  <w:style w:type="paragraph" w:styleId="Footer">
    <w:name w:val="footer"/>
    <w:basedOn w:val="Normal"/>
    <w:link w:val="FooterChar"/>
    <w:uiPriority w:val="99"/>
    <w:semiHidden/>
    <w:unhideWhenUsed/>
    <w:rsid w:val="00311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2CE"/>
  </w:style>
  <w:style w:type="paragraph" w:styleId="ListParagraph">
    <w:name w:val="List Paragraph"/>
    <w:basedOn w:val="Normal"/>
    <w:uiPriority w:val="34"/>
    <w:qFormat/>
    <w:rsid w:val="003112CE"/>
    <w:pPr>
      <w:ind w:left="720"/>
      <w:contextualSpacing/>
    </w:pPr>
  </w:style>
  <w:style w:type="paragraph" w:customStyle="1" w:styleId="TableContentsuser">
    <w:name w:val="Table Contents (user)"/>
    <w:basedOn w:val="Normal"/>
    <w:rsid w:val="003112C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3112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3112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numbering" w:customStyle="1" w:styleId="WW8Num3">
    <w:name w:val="WW8Num3"/>
    <w:basedOn w:val="NoList"/>
    <w:rsid w:val="003112CE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3112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112CE"/>
  </w:style>
  <w:style w:type="character" w:customStyle="1" w:styleId="StrongEmphasis">
    <w:name w:val="Strong Emphasis"/>
    <w:rsid w:val="003112CE"/>
    <w:rPr>
      <w:b/>
      <w:bCs/>
    </w:rPr>
  </w:style>
  <w:style w:type="paragraph" w:styleId="NormalWeb">
    <w:name w:val="Normal (Web)"/>
    <w:basedOn w:val="Normal"/>
    <w:uiPriority w:val="99"/>
    <w:unhideWhenUsed/>
    <w:rsid w:val="0031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3112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C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12CE"/>
    <w:pPr>
      <w:spacing w:after="0" w:line="240" w:lineRule="auto"/>
    </w:pPr>
    <w:rPr>
      <w:rFonts w:ascii="Consolas" w:hAnsi="Consolas" w:cs="Consolas"/>
      <w:sz w:val="20"/>
      <w:szCs w:val="20"/>
      <w:lang w:val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12CE"/>
    <w:rPr>
      <w:rFonts w:ascii="Consolas" w:hAnsi="Consolas" w:cs="Consolas"/>
      <w:sz w:val="20"/>
      <w:szCs w:val="20"/>
      <w:lang w:val="sv-SE"/>
    </w:rPr>
  </w:style>
  <w:style w:type="paragraph" w:styleId="BodyText">
    <w:name w:val="Body Text"/>
    <w:basedOn w:val="Normal"/>
    <w:link w:val="BodyTextChar"/>
    <w:rsid w:val="003112CE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3112CE"/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.org/Tunisia_2014_Presidential/1/assets/common/downloads/publication.pdf" TargetMode="External"/><Relationship Id="rId13" Type="http://schemas.openxmlformats.org/officeDocument/2006/relationships/hyperlink" Target="http://www.youthpolicy.org/pdfs/factsheets/tunis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ersityworldnews.com/article.php?story=20111120095403594" TargetMode="External"/><Relationship Id="rId12" Type="http://schemas.openxmlformats.org/officeDocument/2006/relationships/hyperlink" Target="http://countrymeters.info/en/Tunis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ference.education.gov.tn/2016-02-20/PlanStrategiqueSectoriel.pdf" TargetMode="External"/><Relationship Id="rId11" Type="http://schemas.openxmlformats.org/officeDocument/2006/relationships/hyperlink" Target="http://www.worldbank.org/en/country/tunisia/publication/tunisia-breaking-the-barriers-to-youth-inclusion" TargetMode="External"/><Relationship Id="rId5" Type="http://schemas.openxmlformats.org/officeDocument/2006/relationships/hyperlink" Target="http://www.epdc.org/country/tunisi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orldcp.org/tunisia.php?aid=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ulture_of_Tunisia" TargetMode="External"/><Relationship Id="rId14" Type="http://schemas.openxmlformats.org/officeDocument/2006/relationships/hyperlink" Target="http://scholar.colorado.edu/cgi/viewcontent.cgi?article=2212&amp;context=honr_th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1199</Words>
  <Characters>6955</Characters>
  <Application>Microsoft Office Word</Application>
  <DocSecurity>0</DocSecurity>
  <Lines>57</Lines>
  <Paragraphs>16</Paragraphs>
  <ScaleCrop>false</ScaleCrop>
  <Company>Hewlett-Packard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2017-05-27T19:29:00Z</dcterms:created>
  <dcterms:modified xsi:type="dcterms:W3CDTF">2017-05-27T19:32:00Z</dcterms:modified>
</cp:coreProperties>
</file>