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9F" w:rsidRPr="00ED449F" w:rsidRDefault="00887097" w:rsidP="00887097">
      <w:pPr>
        <w:pStyle w:val="Heading1"/>
        <w:spacing w:before="0" w:after="120" w:line="240" w:lineRule="auto"/>
      </w:pPr>
      <w:r>
        <w:rPr>
          <w:sz w:val="32"/>
          <w:szCs w:val="32"/>
        </w:rPr>
        <w:t>United Kingd</w:t>
      </w:r>
      <w:r w:rsidR="006F13A1" w:rsidRPr="00ED449F">
        <w:rPr>
          <w:sz w:val="32"/>
          <w:szCs w:val="32"/>
        </w:rPr>
        <w:t xml:space="preserve">om </w:t>
      </w:r>
      <w:r w:rsidR="00ED449F" w:rsidRPr="00ED449F">
        <w:t>Education, Culture, Youth and Civil Society policies</w:t>
      </w:r>
    </w:p>
    <w:p w:rsidR="006F13A1" w:rsidRPr="006F13A1" w:rsidRDefault="006F13A1" w:rsidP="00ED449F">
      <w:pPr>
        <w:pStyle w:val="Heading1"/>
        <w:spacing w:before="0" w:after="120" w:line="240" w:lineRule="auto"/>
        <w:ind w:left="-709"/>
      </w:pPr>
    </w:p>
    <w:p w:rsidR="006F13A1" w:rsidRPr="006F13A1" w:rsidRDefault="006F13A1" w:rsidP="006F13A1">
      <w:pPr>
        <w:spacing w:after="120" w:line="240" w:lineRule="auto"/>
        <w:ind w:right="283"/>
        <w:rPr>
          <w:rFonts w:asciiTheme="majorBidi" w:hAnsiTheme="majorBidi" w:cstheme="majorBidi"/>
          <w:b/>
          <w:bCs/>
          <w:sz w:val="28"/>
          <w:szCs w:val="28"/>
        </w:rPr>
      </w:pPr>
      <w:r w:rsidRPr="006F13A1">
        <w:rPr>
          <w:rFonts w:asciiTheme="majorBidi" w:hAnsiTheme="majorBidi" w:cstheme="majorBidi"/>
          <w:b/>
          <w:bCs/>
          <w:sz w:val="28"/>
          <w:szCs w:val="28"/>
        </w:rPr>
        <w:t>Education Policy in the United Kingdom</w:t>
      </w:r>
    </w:p>
    <w:p w:rsidR="006F13A1" w:rsidRPr="007B3AD4" w:rsidRDefault="006F13A1" w:rsidP="006F13A1">
      <w:pPr>
        <w:spacing w:after="120" w:line="240" w:lineRule="auto"/>
        <w:ind w:right="283"/>
        <w:jc w:val="both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conventional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UK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system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consists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Primary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school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(from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years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old),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secondary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school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(from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11-16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years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old).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After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second</w:t>
      </w:r>
      <w:bookmarkStart w:id="0" w:name="_GoBack"/>
      <w:bookmarkEnd w:id="0"/>
      <w:r w:rsidRPr="007B3AD4">
        <w:rPr>
          <w:rFonts w:asciiTheme="majorBidi" w:hAnsiTheme="majorBidi" w:cstheme="majorBidi"/>
          <w:sz w:val="24"/>
          <w:szCs w:val="24"/>
        </w:rPr>
        <w:t>ary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school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students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encouraged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attend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higher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number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options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available.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decide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academic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route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form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Level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more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vocational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based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route;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such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BTEC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qualification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practical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work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experience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such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apprenticeship.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F13A1" w:rsidRPr="007B3AD4" w:rsidRDefault="006F13A1" w:rsidP="006F13A1">
      <w:pPr>
        <w:spacing w:after="120" w:line="240" w:lineRule="auto"/>
        <w:ind w:right="283"/>
        <w:jc w:val="both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Educational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policies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passed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from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down;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Department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Minister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recently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underwent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big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reform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all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levels;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primary,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secondary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higher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grading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system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subjects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been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reformed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GCSE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Level.</w:t>
      </w:r>
    </w:p>
    <w:p w:rsidR="006F13A1" w:rsidRPr="007B3AD4" w:rsidRDefault="006F13A1" w:rsidP="006F13A1">
      <w:pPr>
        <w:spacing w:after="120" w:line="240" w:lineRule="auto"/>
        <w:ind w:right="283"/>
        <w:jc w:val="both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We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number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policies;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some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listed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below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link;</w:t>
      </w:r>
    </w:p>
    <w:p w:rsidR="006F13A1" w:rsidRPr="007B3AD4" w:rsidRDefault="006F13A1" w:rsidP="006F13A1">
      <w:pPr>
        <w:pStyle w:val="ListParagraph"/>
        <w:numPr>
          <w:ilvl w:val="0"/>
          <w:numId w:val="1"/>
        </w:numPr>
        <w:spacing w:after="120" w:line="240" w:lineRule="auto"/>
        <w:ind w:right="283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Academic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Free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Schools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5" w:history="1">
        <w:r w:rsidRPr="007B3AD4">
          <w:rPr>
            <w:rStyle w:val="Hyperlink"/>
            <w:rFonts w:asciiTheme="majorBidi" w:hAnsiTheme="majorBidi" w:cstheme="majorBidi"/>
            <w:sz w:val="24"/>
            <w:szCs w:val="24"/>
          </w:rPr>
          <w:t>https://www.gov.uk/government/policies/academies-and-free-schools</w:t>
        </w:r>
      </w:hyperlink>
    </w:p>
    <w:p w:rsidR="006F13A1" w:rsidRPr="007B3AD4" w:rsidRDefault="006F13A1" w:rsidP="006F13A1">
      <w:pPr>
        <w:pStyle w:val="ListParagraph"/>
        <w:numPr>
          <w:ilvl w:val="0"/>
          <w:numId w:val="1"/>
        </w:numPr>
        <w:spacing w:after="120" w:line="240" w:lineRule="auto"/>
        <w:ind w:right="283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Access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Higher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6" w:history="1">
        <w:r w:rsidRPr="007B3AD4">
          <w:rPr>
            <w:rStyle w:val="Hyperlink"/>
            <w:rFonts w:asciiTheme="majorBidi" w:hAnsiTheme="majorBidi" w:cstheme="majorBidi"/>
            <w:sz w:val="24"/>
            <w:szCs w:val="24"/>
          </w:rPr>
          <w:t>https://www.gov.uk/government/policies/access-to-higher-education</w:t>
        </w:r>
      </w:hyperlink>
    </w:p>
    <w:p w:rsidR="006F13A1" w:rsidRPr="007B3AD4" w:rsidRDefault="006F13A1" w:rsidP="006F13A1">
      <w:pPr>
        <w:pStyle w:val="ListParagraph"/>
        <w:numPr>
          <w:ilvl w:val="0"/>
          <w:numId w:val="1"/>
        </w:numPr>
        <w:spacing w:after="120" w:line="240" w:lineRule="auto"/>
        <w:ind w:right="283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Disadvantaged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Children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7" w:history="1">
        <w:r w:rsidRPr="007B3AD4">
          <w:rPr>
            <w:rStyle w:val="Hyperlink"/>
            <w:rFonts w:asciiTheme="majorBidi" w:hAnsiTheme="majorBidi" w:cstheme="majorBidi"/>
            <w:sz w:val="24"/>
            <w:szCs w:val="24"/>
          </w:rPr>
          <w:t>https://www.gov.uk/government/policies/education-of-disadvantaged-children</w:t>
        </w:r>
      </w:hyperlink>
    </w:p>
    <w:p w:rsidR="006F13A1" w:rsidRPr="007B3AD4" w:rsidRDefault="006F13A1" w:rsidP="006F13A1">
      <w:pPr>
        <w:pStyle w:val="ListParagraph"/>
        <w:numPr>
          <w:ilvl w:val="0"/>
          <w:numId w:val="1"/>
        </w:numPr>
        <w:spacing w:after="120" w:line="240" w:lineRule="auto"/>
        <w:ind w:right="283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Higher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Participation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8" w:history="1">
        <w:r w:rsidRPr="007B3AD4">
          <w:rPr>
            <w:rStyle w:val="Hyperlink"/>
            <w:rFonts w:asciiTheme="majorBidi" w:hAnsiTheme="majorBidi" w:cstheme="majorBidi"/>
            <w:sz w:val="24"/>
            <w:szCs w:val="24"/>
          </w:rPr>
          <w:t>https://www.gov.uk/government/policies/higher-education-participation</w:t>
        </w:r>
      </w:hyperlink>
    </w:p>
    <w:p w:rsidR="006F13A1" w:rsidRPr="007B3AD4" w:rsidRDefault="006F13A1" w:rsidP="006F13A1">
      <w:pPr>
        <w:pStyle w:val="ListParagraph"/>
        <w:numPr>
          <w:ilvl w:val="0"/>
          <w:numId w:val="1"/>
        </w:numPr>
        <w:spacing w:after="120" w:line="240" w:lineRule="auto"/>
        <w:ind w:right="283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School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College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Qualifications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Curriculum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hyperlink r:id="rId9" w:history="1">
        <w:r w:rsidRPr="00F63AEB">
          <w:rPr>
            <w:rStyle w:val="Hyperlink"/>
            <w:rFonts w:asciiTheme="majorBidi" w:hAnsiTheme="majorBidi" w:cstheme="majorBidi"/>
          </w:rPr>
          <w:t>https://www.gov.uk/government/policies/school-and-college-qualifications-and-curriculum</w:t>
        </w:r>
      </w:hyperlink>
    </w:p>
    <w:p w:rsidR="006F13A1" w:rsidRPr="007B3AD4" w:rsidRDefault="006F13A1" w:rsidP="006F13A1">
      <w:pPr>
        <w:spacing w:after="120" w:line="240" w:lineRule="auto"/>
        <w:ind w:right="283"/>
        <w:rPr>
          <w:rFonts w:asciiTheme="majorBidi" w:hAnsiTheme="majorBidi" w:cstheme="majorBidi"/>
          <w:b/>
          <w:bCs/>
          <w:sz w:val="24"/>
          <w:szCs w:val="24"/>
        </w:rPr>
      </w:pPr>
    </w:p>
    <w:p w:rsidR="006F13A1" w:rsidRPr="006F13A1" w:rsidRDefault="006F13A1" w:rsidP="006F13A1">
      <w:pPr>
        <w:spacing w:after="120" w:line="240" w:lineRule="auto"/>
        <w:ind w:right="283"/>
        <w:rPr>
          <w:rFonts w:asciiTheme="majorBidi" w:hAnsiTheme="majorBidi" w:cstheme="majorBidi"/>
          <w:b/>
          <w:bCs/>
          <w:sz w:val="28"/>
          <w:szCs w:val="28"/>
        </w:rPr>
      </w:pPr>
      <w:r w:rsidRPr="006F13A1">
        <w:rPr>
          <w:rFonts w:asciiTheme="majorBidi" w:hAnsiTheme="majorBidi" w:cstheme="majorBidi"/>
          <w:b/>
          <w:bCs/>
          <w:sz w:val="28"/>
          <w:szCs w:val="28"/>
        </w:rPr>
        <w:t>Cultural Policy in the United Kingdom</w:t>
      </w:r>
    </w:p>
    <w:p w:rsidR="006F13A1" w:rsidRPr="007B3AD4" w:rsidRDefault="006F13A1" w:rsidP="006F13A1">
      <w:pPr>
        <w:spacing w:after="120" w:line="240" w:lineRule="auto"/>
        <w:ind w:right="283"/>
        <w:jc w:val="both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UK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proudly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multi-cultural,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diverse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open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society,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number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ad-hoc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policies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relating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promotion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culture,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both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British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other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cultures.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F13A1" w:rsidRPr="007B3AD4" w:rsidRDefault="006F13A1" w:rsidP="006F13A1">
      <w:pPr>
        <w:spacing w:after="120" w:line="240" w:lineRule="auto"/>
        <w:ind w:right="283"/>
        <w:jc w:val="both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“Arts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culture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strengthen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communities,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bringing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people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together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removing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social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barriers.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Involving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young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people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increases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academic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performance,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encourages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creativity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supports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talent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early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on.”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(</w:t>
      </w:r>
      <w:r w:rsidRPr="007B3AD4">
        <w:rPr>
          <w:rFonts w:asciiTheme="majorBidi" w:hAnsiTheme="majorBidi" w:cstheme="majorBidi"/>
          <w:i/>
          <w:iCs/>
          <w:sz w:val="24"/>
          <w:szCs w:val="24"/>
        </w:rPr>
        <w:t>Policy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i/>
          <w:iCs/>
          <w:sz w:val="24"/>
          <w:szCs w:val="24"/>
        </w:rPr>
        <w:t>Paper,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i/>
          <w:iCs/>
          <w:sz w:val="24"/>
          <w:szCs w:val="24"/>
        </w:rPr>
        <w:t>2010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i/>
          <w:iCs/>
          <w:sz w:val="24"/>
          <w:szCs w:val="24"/>
        </w:rPr>
        <w:t>–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i/>
          <w:iCs/>
          <w:sz w:val="24"/>
          <w:szCs w:val="24"/>
        </w:rPr>
        <w:t>2015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i/>
          <w:iCs/>
          <w:sz w:val="24"/>
          <w:szCs w:val="24"/>
        </w:rPr>
        <w:t>Government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i/>
          <w:iCs/>
          <w:sz w:val="24"/>
          <w:szCs w:val="24"/>
        </w:rPr>
        <w:t>Policy: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i/>
          <w:iCs/>
          <w:sz w:val="24"/>
          <w:szCs w:val="24"/>
        </w:rPr>
        <w:t>Arts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i/>
          <w:iCs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i/>
          <w:iCs/>
          <w:sz w:val="24"/>
          <w:szCs w:val="24"/>
        </w:rPr>
        <w:t>Culture)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hyperlink r:id="rId10" w:history="1">
        <w:r w:rsidRPr="007B3AD4">
          <w:rPr>
            <w:rStyle w:val="Hyperlink"/>
            <w:rFonts w:asciiTheme="majorBidi" w:hAnsiTheme="majorBidi" w:cstheme="majorBidi"/>
            <w:sz w:val="24"/>
            <w:szCs w:val="24"/>
          </w:rPr>
          <w:t>https://www.gov.uk/government/publications/2010-to-2015-government-policy-arts-and-culture/2010-to-2015-government-policy-arts-and-culture</w:t>
        </w:r>
      </w:hyperlink>
    </w:p>
    <w:p w:rsidR="006F13A1" w:rsidRPr="007B3AD4" w:rsidRDefault="006F13A1" w:rsidP="006F13A1">
      <w:pPr>
        <w:spacing w:after="120" w:line="240" w:lineRule="auto"/>
        <w:ind w:right="283"/>
        <w:rPr>
          <w:rFonts w:asciiTheme="majorBidi" w:hAnsiTheme="majorBidi" w:cstheme="majorBidi"/>
          <w:b/>
          <w:bCs/>
          <w:sz w:val="24"/>
          <w:szCs w:val="24"/>
        </w:rPr>
      </w:pPr>
    </w:p>
    <w:p w:rsidR="006F13A1" w:rsidRPr="006F13A1" w:rsidRDefault="006F13A1" w:rsidP="006F13A1">
      <w:pPr>
        <w:spacing w:after="120" w:line="240" w:lineRule="auto"/>
        <w:ind w:right="283"/>
        <w:rPr>
          <w:rFonts w:asciiTheme="majorBidi" w:hAnsiTheme="majorBidi" w:cstheme="majorBidi"/>
          <w:b/>
          <w:bCs/>
          <w:sz w:val="28"/>
          <w:szCs w:val="28"/>
        </w:rPr>
      </w:pPr>
      <w:r w:rsidRPr="006F13A1">
        <w:rPr>
          <w:rFonts w:asciiTheme="majorBidi" w:hAnsiTheme="majorBidi" w:cstheme="majorBidi"/>
          <w:b/>
          <w:bCs/>
          <w:sz w:val="28"/>
          <w:szCs w:val="28"/>
        </w:rPr>
        <w:t>Youth Policy in the United Kingdom</w:t>
      </w:r>
    </w:p>
    <w:p w:rsidR="006F13A1" w:rsidRPr="007B3AD4" w:rsidRDefault="006F13A1" w:rsidP="006F13A1">
      <w:pPr>
        <w:spacing w:after="120" w:line="240" w:lineRule="auto"/>
        <w:ind w:right="283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Government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published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policy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2011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which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focused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positive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contribution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youth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society.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objectives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report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threefold;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address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underperformance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schools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raise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attainment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all,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ensure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every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young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person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skills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further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study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work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early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intervention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overturn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aspirations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attainment.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F13A1" w:rsidRPr="007B3AD4" w:rsidRDefault="006F13A1" w:rsidP="006F13A1">
      <w:pPr>
        <w:spacing w:after="120" w:line="240" w:lineRule="auto"/>
        <w:ind w:right="283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United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Kingdom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Youth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Policy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Framework: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11" w:history="1">
        <w:r w:rsidRPr="007B3AD4">
          <w:rPr>
            <w:rStyle w:val="Hyperlink"/>
            <w:rFonts w:asciiTheme="majorBidi" w:hAnsiTheme="majorBidi" w:cstheme="majorBidi"/>
            <w:sz w:val="24"/>
            <w:szCs w:val="24"/>
          </w:rPr>
          <w:t>http://www.youthpolicy.org/national/United_Kingdom_2011_Youth_Policy_Framework.pdf</w:t>
        </w:r>
      </w:hyperlink>
    </w:p>
    <w:p w:rsidR="006F13A1" w:rsidRDefault="006F13A1" w:rsidP="006F13A1">
      <w:pPr>
        <w:spacing w:after="120" w:line="240" w:lineRule="auto"/>
        <w:ind w:right="283"/>
        <w:rPr>
          <w:rFonts w:asciiTheme="majorBidi" w:hAnsiTheme="majorBidi" w:cstheme="majorBidi"/>
          <w:b/>
          <w:bCs/>
          <w:sz w:val="24"/>
          <w:szCs w:val="24"/>
        </w:rPr>
      </w:pPr>
    </w:p>
    <w:p w:rsidR="006F13A1" w:rsidRDefault="006F13A1" w:rsidP="006F13A1">
      <w:pPr>
        <w:spacing w:after="120" w:line="240" w:lineRule="auto"/>
        <w:ind w:right="283"/>
        <w:rPr>
          <w:rFonts w:asciiTheme="majorBidi" w:hAnsiTheme="majorBidi" w:cstheme="majorBidi"/>
          <w:b/>
          <w:bCs/>
          <w:sz w:val="24"/>
          <w:szCs w:val="24"/>
        </w:rPr>
      </w:pPr>
    </w:p>
    <w:p w:rsidR="006F13A1" w:rsidRPr="007B3AD4" w:rsidRDefault="006F13A1" w:rsidP="006F13A1">
      <w:pPr>
        <w:spacing w:after="120" w:line="240" w:lineRule="auto"/>
        <w:ind w:right="283"/>
        <w:rPr>
          <w:rFonts w:asciiTheme="majorBidi" w:hAnsiTheme="majorBidi" w:cstheme="majorBidi"/>
          <w:b/>
          <w:bCs/>
          <w:sz w:val="24"/>
          <w:szCs w:val="24"/>
        </w:rPr>
      </w:pPr>
    </w:p>
    <w:p w:rsidR="006F13A1" w:rsidRPr="006F13A1" w:rsidRDefault="006F13A1" w:rsidP="006F13A1">
      <w:pPr>
        <w:spacing w:after="120" w:line="240" w:lineRule="auto"/>
        <w:ind w:right="283"/>
        <w:rPr>
          <w:rFonts w:asciiTheme="majorBidi" w:hAnsiTheme="majorBidi" w:cstheme="majorBidi"/>
          <w:b/>
          <w:bCs/>
          <w:sz w:val="28"/>
          <w:szCs w:val="28"/>
        </w:rPr>
      </w:pPr>
      <w:r w:rsidRPr="006F13A1">
        <w:rPr>
          <w:rFonts w:asciiTheme="majorBidi" w:hAnsiTheme="majorBidi" w:cstheme="majorBidi"/>
          <w:b/>
          <w:bCs/>
          <w:sz w:val="28"/>
          <w:szCs w:val="28"/>
        </w:rPr>
        <w:lastRenderedPageBreak/>
        <w:t>Civil Society policy in the United Kingdom</w:t>
      </w:r>
    </w:p>
    <w:p w:rsidR="006F13A1" w:rsidRPr="007B3AD4" w:rsidRDefault="006F13A1" w:rsidP="006F13A1">
      <w:pPr>
        <w:spacing w:after="120" w:line="240" w:lineRule="auto"/>
        <w:ind w:right="283"/>
        <w:jc w:val="both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society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who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values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democracy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United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Kingdom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encourage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democratic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participation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all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members.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healthy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society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where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individuals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encouraged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share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opinions,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debate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challenge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policies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which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concerned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about.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Individuals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exercise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rights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means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demonstrations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protects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(some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biggest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protests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taken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place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UK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example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against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incarceration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Nelson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Mandela,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against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Iraq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more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recently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against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state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visit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Donald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Trump).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more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recent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times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individuals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used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voices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collectively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form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online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petitions,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Government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agreed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petition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exceeds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10,000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signatories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will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consider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topic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debate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Parliament.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(</w:t>
      </w:r>
      <w:hyperlink r:id="rId12" w:history="1">
        <w:r w:rsidRPr="007B3AD4">
          <w:rPr>
            <w:rStyle w:val="Hyperlink"/>
            <w:rFonts w:asciiTheme="majorBidi" w:hAnsiTheme="majorBidi" w:cstheme="majorBidi"/>
            <w:sz w:val="24"/>
            <w:szCs w:val="24"/>
          </w:rPr>
          <w:t>https://petition.parliament.uk/</w:t>
        </w:r>
      </w:hyperlink>
      <w:r w:rsidRPr="007B3AD4">
        <w:rPr>
          <w:rFonts w:asciiTheme="majorBidi" w:hAnsiTheme="majorBidi" w:cstheme="majorBidi"/>
          <w:sz w:val="24"/>
          <w:szCs w:val="24"/>
        </w:rPr>
        <w:t>)</w:t>
      </w:r>
    </w:p>
    <w:p w:rsidR="00732BD7" w:rsidRDefault="006F13A1" w:rsidP="006F13A1">
      <w:pPr>
        <w:spacing w:after="120" w:line="240" w:lineRule="auto"/>
        <w:ind w:right="283"/>
      </w:pPr>
      <w:r w:rsidRPr="007B3AD4">
        <w:rPr>
          <w:rFonts w:asciiTheme="majorBidi" w:hAnsiTheme="majorBidi" w:cstheme="majorBidi"/>
          <w:sz w:val="24"/>
          <w:szCs w:val="24"/>
        </w:rPr>
        <w:t>Community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Society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Policy: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13" w:history="1">
        <w:r w:rsidRPr="007B3AD4">
          <w:rPr>
            <w:rStyle w:val="Hyperlink"/>
            <w:rFonts w:asciiTheme="majorBidi" w:hAnsiTheme="majorBidi" w:cstheme="majorBidi"/>
            <w:sz w:val="24"/>
            <w:szCs w:val="24"/>
          </w:rPr>
          <w:t>https://www.gov.uk/government/topics/community-and-society</w:t>
        </w:r>
      </w:hyperlink>
    </w:p>
    <w:sectPr w:rsidR="00732BD7" w:rsidSect="006F13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34DDE"/>
    <w:multiLevelType w:val="hybridMultilevel"/>
    <w:tmpl w:val="6646E3B0"/>
    <w:lvl w:ilvl="0" w:tplc="3F10A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F13A1"/>
    <w:rsid w:val="00356648"/>
    <w:rsid w:val="003F38F7"/>
    <w:rsid w:val="006F13A1"/>
    <w:rsid w:val="00732BD7"/>
    <w:rsid w:val="00887097"/>
    <w:rsid w:val="00ED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3A1"/>
  </w:style>
  <w:style w:type="paragraph" w:styleId="Heading1">
    <w:name w:val="heading 1"/>
    <w:basedOn w:val="Normal"/>
    <w:next w:val="Normal"/>
    <w:link w:val="Heading1Char"/>
    <w:uiPriority w:val="9"/>
    <w:qFormat/>
    <w:rsid w:val="006F1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1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F13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3A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1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ED4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olicies/higher-education-participation" TargetMode="External"/><Relationship Id="rId13" Type="http://schemas.openxmlformats.org/officeDocument/2006/relationships/hyperlink" Target="https://www.gov.uk/government/topics/community-and-socie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olicies/education-of-disadvantaged-children" TargetMode="External"/><Relationship Id="rId12" Type="http://schemas.openxmlformats.org/officeDocument/2006/relationships/hyperlink" Target="https://petition.parliament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olicies/access-to-higher-education" TargetMode="External"/><Relationship Id="rId11" Type="http://schemas.openxmlformats.org/officeDocument/2006/relationships/hyperlink" Target="http://www.youthpolicy.org/national/United_Kingdom_2011_Youth_Policy_Framework.pdf" TargetMode="External"/><Relationship Id="rId5" Type="http://schemas.openxmlformats.org/officeDocument/2006/relationships/hyperlink" Target="https://www.gov.uk/government/policies/academies-and-free-school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2010-to-2015-government-policy-arts-and-culture/2010-to-2015-government-policy-arts-and-cul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olicies/school-and-college-qualifications-and-curricul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3707</Characters>
  <Application>Microsoft Office Word</Application>
  <DocSecurity>0</DocSecurity>
  <Lines>30</Lines>
  <Paragraphs>8</Paragraphs>
  <ScaleCrop>false</ScaleCrop>
  <Company>Hewlett-Packard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2017-05-27T19:43:00Z</cp:lastPrinted>
  <dcterms:created xsi:type="dcterms:W3CDTF">2017-05-27T19:41:00Z</dcterms:created>
  <dcterms:modified xsi:type="dcterms:W3CDTF">2017-05-27T20:16:00Z</dcterms:modified>
</cp:coreProperties>
</file>